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187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17. Формирование фондов капитального ремонта региональным оператором. Деятельность регионального оператора по финансированию капитального ремонта общего имущества в многоквартирных домах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Годовая бухгалтерская (финансовая) отчетность регионального оператора подлежит обязательному аудиту, проводимому аудиторской организацией (аудитором), отбираемой субъектом Российской Федерации на конкурсной основе.</w:t>
      </w:r>
    </w:p>
    <w:p>
      <w:pPr>
        <w:spacing w:after="120"/>
        <w:ind w:firstLine="709"/>
      </w:pPr>
      <w:r>
        <w:rPr>
          <w:sz w:val="24"/>
        </w:rPr>
        <w:t xml:space="preserve">2. Принятие решения о проведении аудита, утверждение договора с аудиторской организацией (аудитором) осуществляются в порядке, установленном нормативным правовым актом субъекта Российской Федерации, а также учредительными документами регионального оператора. Оплата услуг аудиторской организации (аудитора) осуществляется за счет средств регионального оператора, за исключением средств, полученных в виде платежей собственников помещений в многоквартирных домах, формирующих фонды капитального ремонта на счете, счетах регионального оператора.</w:t>
      </w:r>
    </w:p>
    <w:p>
      <w:pPr>
        <w:spacing w:after="120"/>
        <w:ind w:firstLine="709"/>
      </w:pPr>
      <w:r>
        <w:rPr>
          <w:sz w:val="24"/>
        </w:rPr>
        <w:t xml:space="preserve">3. Не позднее чем через пять дней со дня представления аудиторского заключения аудиторской организацией (аудитором) региональный оператор обязан направить копию аудиторского заключения в уполномоченный исполнительный орган субъекта Российской Федерации, указанный в части 1 статьи 186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Годовой отчет регионального оператора и аудиторское заключение размещаются на сайте в информационно-телекоммуникационной сети "Интернет" с учетом требований законодательства Российской Федерации о государственной тайне, коммерческой тайне в порядке и в сроки, которые установлены нормативным правовым актом субъекта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187</dc:title>
  <dc:creator>АРБИТРАЖ! · arbi.ru</dc:creator>
  <cp:lastModifiedBy>АРБИТРАЖ!</cp:lastModifiedBy>
  <dcterms:created xsi:type="dcterms:W3CDTF">2026-10-22T20:18:12.897Z</dcterms:created>
</cp:coreProperties>
</file>