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190</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18. Проведение капитального ремонта общего имущества в многоквартирном доме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190 ЖК РФ</w:t>
      </w:r>
    </w:p>
    <w:p>
      <w:pPr>
        <w:spacing w:after="120"/>
        <w:ind w:firstLine="709"/>
      </w:pPr>
      <w:r>
        <w:rPr>
          <w:sz w:val="24"/>
        </w:rPr>
        <w:t xml:space="preserve">- Региональный оператор хочет взыскать с уполномоченного органа убытки, возникшие в связи с проведением работ по капитальному ремонту в МКД, признанном впоследствии аварийным</w:t>
      </w:r>
    </w:p>
    <w:p>
      <w:pPr>
        <w:spacing w:after="120"/>
        <w:ind w:firstLine="709"/>
      </w:pPr>
      <w:r>
        <w:rPr>
          <w:sz w:val="24"/>
        </w:rPr>
        <w:t xml:space="preserve">1. 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pPr>
        <w:spacing w:after="120"/>
        <w:ind w:firstLine="709"/>
      </w:pPr>
      <w:r>
        <w:rPr>
          <w:sz w:val="24"/>
        </w:rPr>
        <w:t xml:space="preserve">2. Основанием для перечисления региональным оператором средств по договору строительного подряда, предусмотренному частью 7 статьи 166 настоящего Кодекса, является акт приемки оказанных услуг и (или) выполненных работ по капитальному ремонту общего имущества в многоквартирном доме (за исключением случая, указанного в части 3 настоящей статьи). Такой акт приемки должен быть подписан, в том числе органом местного самоуправления и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 Порядок и сроки подписания акта приемки оказанных услуг и (или) выполненных работ по капитальному ремонту общего имущества в многоквартирном доме,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 устанавливается нормативным правовым актом субъекта Российской Федерации. Основанием для перечисления региональным оператором средств по договору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частью 7 статьи 167 настоящего Кодекса, является подписанный региональным оператором и поставщиком акт приемки товаров (материалов и оборудования, в том числе высокотехнологичного оборудования).</w:t>
      </w:r>
    </w:p>
    <w:p>
      <w:pPr>
        <w:spacing w:after="120"/>
        <w:ind w:firstLine="709"/>
      </w:pPr>
      <w:r>
        <w:rPr>
          <w:sz w:val="24"/>
        </w:rPr>
        <w:t xml:space="preserve">(в ред. Федеральных законов от 16.04.2022 N 100-ФЗ , от 04.08.2023 N 433-ФЗ , от 27.11.2023 N 561-ФЗ , от 08.08.2024 N 238-ФЗ )</w:t>
      </w:r>
    </w:p>
    <w:p>
      <w:pPr>
        <w:spacing w:after="120"/>
        <w:ind w:firstLine="709"/>
      </w:pPr>
      <w:r>
        <w:rPr>
          <w:sz w:val="24"/>
        </w:rPr>
        <w:t xml:space="preserve">(см. текст в предыдущей редакции )</w:t>
      </w:r>
    </w:p>
    <w:p>
      <w:pPr>
        <w:spacing w:after="120"/>
        <w:ind w:firstLine="709"/>
      </w:pPr>
      <w:r>
        <w:rPr>
          <w:sz w:val="24"/>
        </w:rPr>
        <w:t xml:space="preserve">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pPr>
        <w:spacing w:after="120"/>
        <w:ind w:firstLine="709"/>
      </w:pPr>
      <w:r>
        <w:rPr>
          <w:sz w:val="24"/>
        </w:rPr>
        <w:t xml:space="preserve">(в ред. Федерального закона от 29.06.2015 N 176-ФЗ)</w:t>
      </w:r>
    </w:p>
    <w:p>
      <w:pPr>
        <w:spacing w:after="120"/>
        <w:ind w:firstLine="709"/>
      </w:pPr>
      <w:r>
        <w:rPr>
          <w:sz w:val="24"/>
        </w:rPr>
        <w:t xml:space="preserve">(см. текст в предыдущей редакции )</w:t>
      </w:r>
    </w:p>
    <w:p>
      <w:pPr>
        <w:spacing w:after="120"/>
        <w:ind w:firstLine="709"/>
      </w:pPr>
      <w:r>
        <w:rPr>
          <w:sz w:val="24"/>
        </w:rPr>
        <w:t xml:space="preserve">3.1. Региональный оператор может уплачивать в качестве аванса более чем тридцать процентов стоимости соответствующего вида услуг и (или) работ по капитальному ремонту общего имущества в многоквартирном доме в случаях и порядке, которые установлены Правительством Российской Федерации.</w:t>
      </w:r>
    </w:p>
    <w:p>
      <w:pPr>
        <w:spacing w:after="120"/>
        <w:ind w:firstLine="709"/>
      </w:pPr>
      <w:r>
        <w:rPr>
          <w:sz w:val="24"/>
        </w:rPr>
        <w:t xml:space="preserve">(часть 3.1 введена Федеральным законом от 01.05.2022 N 124-ФЗ)</w:t>
      </w:r>
    </w:p>
    <w:p>
      <w:pPr>
        <w:spacing w:after="120"/>
        <w:ind w:firstLine="709"/>
      </w:pPr>
      <w:r>
        <w:rPr>
          <w:sz w:val="24"/>
        </w:rPr>
        <w:t xml:space="preserve">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акте субъекта Российской Федерации, принятом в соответствии с частью 2 статьи 166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190</dc:title>
  <dc:creator>АРБИТРАЖ! · arbi.ru</dc:creator>
  <cp:lastModifiedBy>АРБИТРАЖ!</cp:lastModifiedBy>
  <dcterms:created xsi:type="dcterms:W3CDTF">2026-10-22T22:31:55.297Z</dcterms:created>
</cp:coreProperties>
</file>