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Порядок осуществления административного судопроизводства определяется Конституцией Российской Федерации, Федеральным конституционным законом от 31 декабря 1996 года N 1-ФКЗ "О судебной системе Российской Федерации", Федеральным конституционным законом от 23 июня 1999 года N 1-ФКЗ "О военных судах Российской Федерации", Федеральным конституционным законом от 7 февраля 2011 года N 1-ФКЗ "О судах общей юрисдикции в Российской Федерации", а также настоящим Кодексом и другими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2. Если международным договором Российской Федерации установлены иные правила административного судопроизводства, чем предусмотренные настоящим Кодексом, применяются правила международного договора. Не допускается применение правил международных договоров Российской Федерации в их истолковании, противоречащем Конституции Российской Федерации. Такое противоречие может быть установлено в порядке, определенном федеральным конституционным законом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08.12.2020 N 428-ФЗ)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Предусмотренные настоящим Кодексом общие правила административного судопроизводства в судах первой, апелляционной, кассационной и надзорной инстанций применяются ко всем категориям административных дел с учетом особенностей производства по отдельным категориям административных дел, установленных настоящим Кодексом .</w:t>
      </w:r>
    </w:p>
    <w:p>
      <w:pPr>
        <w:spacing w:after="120"/>
        <w:ind w:firstLine="709"/>
      </w:pPr>
      <w:r>
        <w:rPr>
          <w:sz w:val="24"/>
        </w:rPr>
        <w:t xml:space="preserve">4. В случае отсутствия нормы процессуального права, регулирующей отношения, возникшие в ходе административного судопроизводства, суд применяет норму, регулирующую сходные отношения (аналогия закона), а при отсутствии такой нормы действует исходя из принципов осуществления правосудия в Российской Федерации (аналогия права).</w:t>
      </w:r>
    </w:p>
    <w:p>
      <w:pPr>
        <w:spacing w:after="120"/>
        <w:ind w:firstLine="709"/>
      </w:pPr>
      <w:r>
        <w:rPr>
          <w:sz w:val="24"/>
        </w:rPr>
        <w:t xml:space="preserve">5. Административное судопроизводство осуществляется в соответствии с теми нормами процессуального права, которые действуют во время рассмотрения и разрешения административного дела, совершения отдельного процессуального действия.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</dc:title>
  <dc:creator>АРБИТРАЖ! · arbi.ru</dc:creator>
  <cp:lastModifiedBy>АРБИТРАЖ!</cp:lastModifiedBy>
  <dcterms:created xsi:type="dcterms:W3CDTF">2026-10-22T19:04:04.737Z</dcterms:created>
</cp:coreProperties>
</file>