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7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1. Основные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осуществлении административного судопроизводства судьи независимы, подчиняются только Конституции Российской Федерации и федеральному закону.</w:t>
      </w:r>
    </w:p>
    <w:p>
      <w:pPr>
        <w:spacing w:after="120"/>
        <w:ind w:firstLine="709"/>
      </w:pPr>
      <w:r>
        <w:rPr>
          <w:sz w:val="24"/>
        </w:rPr>
        <w:t xml:space="preserve">2. Любое вмешательство со стороны органов государственной власти, иных государственных органов, органов местного самоуправления, иных органов, организаций, должностных лиц и граждан в деятельность суда по осуществлению правосудия запрещается и влечет за собой ответственность, установленную федеральным законом .</w:t>
      </w:r>
    </w:p>
    <w:p>
      <w:pPr>
        <w:spacing w:after="120"/>
        <w:ind w:firstLine="709"/>
      </w:pPr>
      <w:r>
        <w:rPr>
          <w:sz w:val="24"/>
        </w:rPr>
        <w:t xml:space="preserve">3. Гарантии независимости судей устанавливаются Конституцией Российской Федерации и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4. Информация о внепроцессуальных письменных или устных обращениях государственных органов, органов местного самоуправления, иных органов, организаций, должностных лиц или граждан, поступивших судьям по административным делам, находящимся в их производстве, или председателю суда, его заместителю, председателю судебного состава или председателю судебной коллегии по административным делам, находящимся в производстве суда, подлежит преданию гласности и доведению до сведения участников судебного разбирательства путем размещения данной информации в установленном порядке в информационно-телекоммуникационной сети "Интернет" и не является основанием для проведения процессуальных действий или принятия процессуальных решений по административным делам.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7</dc:title>
  <dc:creator>АРБИТРАЖ! · arbi.ru</dc:creator>
  <cp:lastModifiedBy>АРБИТРАЖ!</cp:lastModifiedBy>
  <dcterms:created xsi:type="dcterms:W3CDTF">2026-10-23T13:13:06.321Z</dcterms:created>
</cp:coreProperties>
</file>