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Правосудие по административным делам осуществляется на основе принципа равенства всех перед законом и судом: граждан -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 и других обстоятельств; организаций - независимо от их организационно-правовой формы, формы собственности, подчиненности, места нахождения и других обстоятельств.</w:t>
      </w:r>
    </w:p>
    <w:p>
      <w:pPr>
        <w:spacing w:after="120"/>
        <w:ind w:firstLine="709"/>
      </w:pPr>
      <w:r>
        <w:rPr>
          <w:sz w:val="24"/>
        </w:rPr>
        <w:t xml:space="preserve">2. Суд обеспечивает равную судебную защиту прав, свобод и законных интересов всех лиц, участвующих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8</dc:title>
  <dc:creator>АРБИТРАЖ! · arbi.ru</dc:creator>
  <cp:lastModifiedBy>АРБИТРАЖ!</cp:lastModifiedBy>
  <dcterms:created xsi:type="dcterms:W3CDTF">2026-10-22T20:04:03.646Z</dcterms:created>
</cp:coreProperties>
</file>