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При обращении в суд с заявлением, содержащим несколько связанных между собой требований, из которых одни подлежат рассмотрению в порядке гражданского судопроизводства, другие - в порядке административного судопроизводства, если разделение требований невозможно, дело подлежит рассмотрению и разрешению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2. При предъявлении в суд искового заявления, содержащего несколько требований, одни из которых подлежат рассмотрению по правилам административного судопроизводства, а другие - по правилам гражданского судопроизводства, если их раздельное рассмотрение возможно, судья разрешает вопрос о принятии требований, подлежащих рассмотрению в порядке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3. Если иные предъявленные в суд требования, подлежащие рассмотрению в порядке гражданского судопроизводства, подсудны данному суду, вопрос об их принятии к производству разрешается судьей в соответствии с законодательством о гражданском судопроизводстве на основании засвидетельствованных им копий искового заявления и соответствующих приложенных к нему документов.</w:t>
      </w:r>
    </w:p>
    <w:p>
      <w:pPr>
        <w:spacing w:after="120"/>
        <w:ind w:firstLine="709"/>
      </w:pPr>
      <w:r>
        <w:rPr>
          <w:sz w:val="24"/>
        </w:rPr>
        <w:t xml:space="preserve">4. Если иные предъявленные в суд требования, подлежащие рассмотрению в порядке гражданского судопроизводства, не подсудны данному суду, судья возвращает исковое заявление в части таких требований в соответствии с пунктом 2 части 1 статьи 129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Суд, установив в ходе подготовки административного дела к судебному разбирательству или судебного разбирательства по административному делу, что оно подлежит рассмотрению в порядке гражданского судопроизводства, выносит определение о переходе к рассмотрению дела по правилам гражданского судопроизводства.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16.1</dc:title>
  <dc:creator>АРБИТРАЖ! · arbi.ru</dc:creator>
  <cp:lastModifiedBy>АРБИТРАЖ!</cp:lastModifiedBy>
  <dcterms:created xsi:type="dcterms:W3CDTF">2026-10-22T12:06:51.944Z</dcterms:created>
</cp:coreProperties>
</file>