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принимавший участие в рассмотрении административного дела в суде первой инстанции, не может участвовать в рассмотрении этого дела в судах апелляционной, кассационной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2. Судья, принимавший участие в рассмотрении административного дела в суде апелляционной инстанции, не может участвовать в рассмотрении этого дела в судах первой, кассационной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3. Судья, принимавший участие в рассмотрении административного дела в суде кассационной инстанции, не может участвовать в рассмотрении этого дела в судах первой, апелляционной и надзорной инстанций.</w:t>
      </w:r>
    </w:p>
    <w:p>
      <w:pPr>
        <w:spacing w:after="120"/>
        <w:ind w:firstLine="709"/>
      </w:pPr>
      <w:r>
        <w:rPr>
          <w:sz w:val="24"/>
        </w:rPr>
        <w:t xml:space="preserve">4. Судья, принимавший участие в рассмотрении административного дела в суде надзорной инстанции, не может участвовать в рассмотрении этого дела в судах первой, апелляционной и кассационной инстанций.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</dc:title>
  <dc:creator>АРБИТРАЖ! · arbi.ru</dc:creator>
  <cp:lastModifiedBy>АРБИТРАЖ!</cp:lastModifiedBy>
  <dcterms:created xsi:type="dcterms:W3CDTF">2026-10-22T11:22:26.847Z</dcterms:created>
</cp:coreProperties>
</file>