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удовлетворения заявления о самоотводе или об отводе судьи, либо нескольких судей, либо всего состава суда административное дело рассматривается в том же суде иным судьей или иным составом судей.</w:t>
      </w:r>
    </w:p>
    <w:p>
      <w:pPr>
        <w:spacing w:after="120"/>
        <w:ind w:firstLine="709"/>
      </w:pPr>
      <w:r>
        <w:rPr>
          <w:sz w:val="24"/>
        </w:rPr>
        <w:t xml:space="preserve">2. Если в результате удовлетворения заявлений об отводе судей или по причинам, указанным в статье 32 настоящего Кодекса, невозможно сформировать новый состав суда для рассмотрения данного административного дела в том же суде, административное дело передается вышестоящим судом в другой суд того же уровня в порядке, установленном статьей 27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36</dc:title>
  <dc:creator>АРБИТРАЖ! · arbi.ru</dc:creator>
  <cp:lastModifiedBy>АРБИТРАЖ!</cp:lastModifiedBy>
  <dcterms:created xsi:type="dcterms:W3CDTF">2026-10-22T20:04:50.643Z</dcterms:created>
</cp:coreProperties>
</file>