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44</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4. Лица, участвующие в деле, и другие участники судебного процесса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44 КАС РФ</w:t>
      </w:r>
    </w:p>
    <w:p>
      <w:pPr>
        <w:spacing w:after="120"/>
        <w:ind w:firstLine="709"/>
      </w:pPr>
      <w:r>
        <w:rPr>
          <w:sz w:val="24"/>
        </w:rPr>
        <w:t xml:space="preserve">- Заявитель хочет произвести процессуальную замену</w:t>
      </w:r>
    </w:p>
    <w:p>
      <w:pPr>
        <w:spacing w:after="120"/>
        <w:ind w:firstLine="709"/>
      </w:pPr>
      <w:r>
        <w:rPr>
          <w:sz w:val="24"/>
        </w:rPr>
        <w:t xml:space="preserve">КонсультантПлюс: примечание.</w:t>
      </w:r>
    </w:p>
    <w:p>
      <w:pPr>
        <w:spacing w:after="120"/>
        <w:ind w:firstLine="709"/>
      </w:pPr>
      <w:r>
        <w:rPr>
          <w:sz w:val="24"/>
        </w:rPr>
        <w:t xml:space="preserve">Ч. 1 ст. 44 признана частично не соответствующей Конституции РФ ( Постановление КС РФ от 24.12.2025 N 49-П). О правовом регулировании до внесения соответствующих изменений см. п. 2 Постановления.</w:t>
      </w:r>
    </w:p>
    <w:p>
      <w:pPr>
        <w:spacing w:after="120"/>
        <w:ind w:firstLine="709"/>
      </w:pPr>
      <w:r>
        <w:rPr>
          <w:sz w:val="24"/>
        </w:rPr>
        <w:t xml:space="preserve">1. В случае,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pPr>
        <w:spacing w:after="120"/>
        <w:ind w:firstLine="709"/>
      </w:pPr>
      <w:r>
        <w:rPr>
          <w:sz w:val="24"/>
        </w:rPr>
        <w:t xml:space="preserve">2. 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pPr>
        <w:spacing w:after="120"/>
        <w:ind w:firstLine="709"/>
      </w:pPr>
      <w:r>
        <w:rPr>
          <w:sz w:val="24"/>
        </w:rPr>
        <w:t xml:space="preserve">3. В случае смерти гражданина,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pPr>
        <w:spacing w:after="120"/>
        <w:ind w:firstLine="709"/>
      </w:pPr>
      <w:r>
        <w:rPr>
          <w:sz w:val="24"/>
        </w:rPr>
        <w:t xml:space="preserve">4. В случае реорганизации юридического лица,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pPr>
        <w:spacing w:after="120"/>
        <w:ind w:firstLine="709"/>
      </w:pPr>
      <w:r>
        <w:rPr>
          <w:sz w:val="24"/>
        </w:rPr>
        <w:t xml:space="preserve">5. О замене стороны ее правопреемником или об отказе в этом судом выносится соответствующее определение, на которое может быть подана частная жалоба.</w:t>
      </w:r>
    </w:p>
    <w:p>
      <w:pPr>
        <w:spacing w:after="120"/>
        <w:ind w:firstLine="709"/>
      </w:pPr>
      <w:r>
        <w:rPr>
          <w:sz w:val="24"/>
        </w:rPr>
        <w:t xml:space="preserve">6. Все действия, совершенные в судебном процессе до вступления правопреемника в административное дело, обязательны для него в той мере, в какой они были обязательны для лица, которое правопреемник заменил.</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44</dc:title>
  <dc:creator>АРБИТРАЖ! · arbi.ru</dc:creator>
  <cp:lastModifiedBy>АРБИТРАЖ!</cp:lastModifiedBy>
  <dcterms:created xsi:type="dcterms:W3CDTF">2026-10-22T22:56:10.857Z</dcterms:created>
</cp:coreProperties>
</file>