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Подлинники документов, имеющиеся в административном деле и являющиеся письменными доказательствами, по ходатайствам лиц, их представивших, могут быть возвращены им после исследования судом или вступления в законную силу судебного акта, которым заканчивается рассмотрение административного дела, если эти документы не подлежат передаче другому лицу.</w:t>
      </w:r>
    </w:p>
    <w:p>
      <w:pPr>
        <w:spacing w:after="120"/>
        <w:ind w:firstLine="709"/>
      </w:pPr>
      <w:r>
        <w:rPr>
          <w:sz w:val="24"/>
        </w:rPr>
        <w:t xml:space="preserve">2. Подлинники документов могут быть возвращены после исследования судом лицу, их представившему, только в случае, если суд придет к выводу, что их можно возвратить без ущерба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Если подлинники документов возвращаются лицу, их представившему, в материалах административного дела остаются засвидетельствованные судом копии этих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71</dc:title>
  <dc:creator>АРБИТРАЖ! · arbi.ru</dc:creator>
  <cp:lastModifiedBy>АРБИТРАЖ!</cp:lastModifiedBy>
  <dcterms:created xsi:type="dcterms:W3CDTF">2026-10-22T14:06:12.276Z</dcterms:created>
</cp:coreProperties>
</file>