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75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Вещественные доказательства, находящиеся в суде, по ходатайствам лиц, их представивших, могут быть возвращены им после исследования и осмотра судом, если такие доказательства не подлежат передаче иным лицам. Вещественные доказательства могут быть возвращены лицу, их представившему, если суд придет к выводу, что это возможно сделать без ущерба для правильного рассмотрения и разрешения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2. Суд вправе сохранить вещественные доказательства до вступления в законную силу акта, которым заканчивается рассмотрение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3. Предметы, которые согласно федеральному закону не могут находиться в собственности или во владении отдельных лиц, передаются соответствующим организациям.</w:t>
      </w:r>
    </w:p>
    <w:p>
      <w:pPr>
        <w:spacing w:after="120"/>
        <w:ind w:firstLine="709"/>
      </w:pPr>
      <w:r>
        <w:rPr>
          <w:sz w:val="24"/>
        </w:rPr>
        <w:t xml:space="preserve">4. По вопросам распоряжения вещественными доказательствами суд выносит определение, которое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75</dc:title>
  <dc:creator>АРБИТРАЖ! · arbi.ru</dc:creator>
  <cp:lastModifiedBy>АРБИТРАЖ!</cp:lastModifiedBy>
  <dcterms:created xsi:type="dcterms:W3CDTF">2026-10-22T19:05:10.253Z</dcterms:created>
</cp:coreProperties>
</file>