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Комиссионная экспертиза проводится не менее чем двумя экспертами, обладающими специальными познаниями в одной и той же области знания. Комиссионный характер экспертизы определяется судом.</w:t>
      </w:r>
    </w:p>
    <w:p>
      <w:pPr>
        <w:spacing w:after="120"/>
        <w:ind w:firstLine="709"/>
      </w:pPr>
      <w:r>
        <w:rPr>
          <w:sz w:val="24"/>
        </w:rPr>
        <w:t xml:space="preserve">2. Если по результатам проведенных исследований мнения экспертов по поставленным вопросам совпадают, экспертами составляется единое заключение. В случае возникновения разногласий эксперт, несогласный с мнением другого эксперта или других экспертов, дает отдельное заключение по всем вопросам или по отдельным вопросам, вызвавшим разногласия.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80</dc:title>
  <dc:creator>АРБИТРАЖ! · arbi.ru</dc:creator>
  <cp:lastModifiedBy>АРБИТРАЖ!</cp:lastModifiedBy>
  <dcterms:created xsi:type="dcterms:W3CDTF">2026-10-22T22:54:46.346Z</dcterms:created>
</cp:coreProperties>
</file>