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86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7. Меры предварительной защиты по административному иску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86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просит принять меры предварительной защиты</w:t>
      </w:r>
    </w:p>
    <w:p>
      <w:pPr>
        <w:spacing w:after="120"/>
        <w:ind w:firstLine="709"/>
      </w:pPr>
      <w:r>
        <w:rPr>
          <w:sz w:val="24"/>
        </w:rPr>
        <w:t xml:space="preserve">1. Заявление о применении мер предварительной защиты по административному иску может быть подано в суд одновременно с административным исковым заявлением или до рассмотрения административного дела по существу, а также до вступления решения в законную силу. Ходатайство о применении мер предварительной защиты по административному иску может быть изложено в административном исковом заявлении.</w:t>
      </w:r>
    </w:p>
    <w:p>
      <w:pPr>
        <w:spacing w:after="120"/>
        <w:ind w:firstLine="709"/>
      </w:pPr>
      <w:r>
        <w:rPr>
          <w:sz w:val="24"/>
        </w:rPr>
        <w:t xml:space="preserve">1.1. Заявление о применении мер предварительной защиты по административному иску,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(часть 1.1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заявлении о применении мер предварительной защиты по административному иску указываются: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2) сведения об административном истце и административном ответчике (наименование или фамилия, имя и отчество, адрес или место жительства, иные известные сведения о них, включая номера телефонов, факсов, адреса электронной почты);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предмет административного иска;</w:t>
      </w:r>
    </w:p>
    <w:p>
      <w:pPr>
        <w:spacing w:after="120"/>
        <w:ind w:firstLine="709"/>
      </w:pPr>
      <w:r>
        <w:rPr>
          <w:sz w:val="24"/>
        </w:rPr>
        <w:t xml:space="preserve">4) причина обращения с заявлением о применении мер предварительной защиты по административному иску и ее обоснование;</w:t>
      </w:r>
    </w:p>
    <w:p>
      <w:pPr>
        <w:spacing w:after="120"/>
        <w:ind w:firstLine="709"/>
      </w:pPr>
      <w:r>
        <w:rPr>
          <w:sz w:val="24"/>
        </w:rPr>
        <w:t xml:space="preserve">5) мера предварительной защиты по административному иску, которую лицо, его подавшее, просит применить;</w:t>
      </w:r>
    </w:p>
    <w:p>
      <w:pPr>
        <w:spacing w:after="120"/>
        <w:ind w:firstLine="709"/>
      </w:pPr>
      <w:r>
        <w:rPr>
          <w:sz w:val="24"/>
        </w:rPr>
        <w:t xml:space="preserve">6) перечень прилагаемых к заявлению документов.</w:t>
      </w:r>
    </w:p>
    <w:p>
      <w:pPr>
        <w:spacing w:after="120"/>
        <w:ind w:firstLine="709"/>
      </w:pPr>
      <w:r>
        <w:rPr>
          <w:sz w:val="24"/>
        </w:rPr>
        <w:t xml:space="preserve">3. Заявление о применении мер предварительной защиты по административному иску подписывается лицом, его подавшим. К заявлению, подписанному представителем административного истца, прилагается доверенность либо иной документ, подтверждающие полномочия представителя на подписание заявления.</w:t>
      </w:r>
    </w:p>
    <w:p>
      <w:pPr>
        <w:spacing w:after="120"/>
        <w:ind w:firstLine="709"/>
      </w:pPr>
      <w:r>
        <w:rPr>
          <w:sz w:val="24"/>
        </w:rPr>
        <w:t xml:space="preserve">4. Если ходатайство о применении мер предварительной защиты по административному иску изложено непосредственно в административном исковом заявлении, в этом ходатайстве должны быть указаны сведения, предусмотренные пунктами 4 и 5 части 2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86</dc:title>
  <dc:creator>АРБИТРАЖ! · arbi.ru</dc:creator>
  <cp:lastModifiedBy>АРБИТРАЖ!</cp:lastModifiedBy>
  <dcterms:created xsi:type="dcterms:W3CDTF">2026-10-22T20:09:15.384Z</dcterms:created>
</cp:coreProperties>
</file>