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87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1. Заявление о применении мер предварительной защиты по административному иску рассматривается судьей единолично в судах первой и апелляционной инстанций.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заявление о применении мер предварительной защиты по административному иску не соответствует требованиям, предусмотренным статьей 86 настоящего Кодекса, суд оставляет это заявление без движения на основании статьи 130 настоящего Кодекса, о чем немедленно сообщает лицу, его подавшему.</w:t>
      </w:r>
    </w:p>
    <w:p>
      <w:pPr>
        <w:spacing w:after="120"/>
        <w:ind w:firstLine="709"/>
      </w:pPr>
      <w:r>
        <w:rPr>
          <w:sz w:val="24"/>
        </w:rPr>
        <w:t xml:space="preserve">3. Заявление о применении мер предварительной защиты по административному иску рассматривается судом без извещения лиц, участвующих в деле, не позднее следующего рабочего дня после дня поступления заявления в суд или после устранения в заявлении выявленных судом недостатков.</w:t>
      </w:r>
    </w:p>
    <w:p>
      <w:pPr>
        <w:spacing w:after="120"/>
        <w:ind w:firstLine="709"/>
      </w:pPr>
      <w:r>
        <w:rPr>
          <w:sz w:val="24"/>
        </w:rPr>
        <w:t xml:space="preserve">4. В удовлетворении заявления о применении мер предварительной защиты по административному иску может быть отказано, если основания для применения таких мер отсутствуют.</w:t>
      </w:r>
    </w:p>
    <w:p>
      <w:pPr>
        <w:spacing w:after="120"/>
        <w:ind w:firstLine="709"/>
      </w:pPr>
      <w:r>
        <w:rPr>
          <w:sz w:val="24"/>
        </w:rPr>
        <w:t xml:space="preserve">5. О применении мер предварительной защиты по административному иску или об отказе в этом суд выносит определение, копии которого незамедлительно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6. Ходатайство о применении мер предварительной защиты по административному иску, указанных в административном исковом заявлении, рассматривается судом в порядке, предусмотренном настоящей статьей, отдельно от других требований и ходатайств, изложенных в административном исковом заявлении, не позднее следующего рабочего дня после дня принятия административного искового заявления к производству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87</dc:title>
  <dc:creator>АРБИТРАЖ! · arbi.ru</dc:creator>
  <cp:lastModifiedBy>АРБИТРАЖ!</cp:lastModifiedBy>
  <dcterms:created xsi:type="dcterms:W3CDTF">2026-10-22T22:55:59.289Z</dcterms:created>
</cp:coreProperties>
</file>