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 о применении мер предварительной защиты по административному иску приводится в исполнение немедленно в порядке , установленном для исполнения судебных актов.</w:t>
      </w:r>
    </w:p>
    <w:p>
      <w:pPr>
        <w:spacing w:after="120"/>
        <w:ind w:firstLine="709"/>
      </w:pPr>
      <w:r>
        <w:rPr>
          <w:sz w:val="24"/>
        </w:rPr>
        <w:t xml:space="preserve">1.1. Лицо, на которое возложено исполнение определения суда о применении мер предварительной защиты по административному иску, обязано исполнить данное определение не позднее следующего дня со дня его получения, если иной срок не установлен законом или судом, а также сообщить суду об исполнении данного определения в течение пяти дней со дня истечения срока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На лиц, виновных в неисполнении определения суда о применении мер предварительной защиты по административному иску или в несообщении суду о его исполнении, может быть наложен судебный штраф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88</dc:title>
  <dc:creator>АРБИТРАЖ! · arbi.ru</dc:creator>
  <cp:lastModifiedBy>АРБИТРАЖ!</cp:lastModifiedBy>
  <dcterms:created xsi:type="dcterms:W3CDTF">2026-10-22T22:45:47.693Z</dcterms:created>
</cp:coreProperties>
</file>