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94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8.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 на совершение процессуальных действий погашается с истечением установленного настоящим Кодексом или назначенного судом процессуального срока.</w:t>
      </w:r>
    </w:p>
    <w:p>
      <w:pPr>
        <w:spacing w:after="120"/>
        <w:ind w:firstLine="709"/>
      </w:pPr>
      <w:r>
        <w:rPr>
          <w:sz w:val="24"/>
        </w:rPr>
        <w:t xml:space="preserve">2. Поданные по истечении процессуального срока жалобы и представленные документы, если не заявлено ходатайство о восстановлении пропущенного процессуального срока, не рассматриваются судом и возвращаются лицу, которым они были поданы или представлены.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94</dc:title>
  <dc:creator>АРБИТРАЖ! · arbi.ru</dc:creator>
  <cp:lastModifiedBy>АРБИТРАЖ!</cp:lastModifiedBy>
  <dcterms:created xsi:type="dcterms:W3CDTF">2026-10-23T00:42:31.946Z</dcterms:created>
</cp:coreProperties>
</file>