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8.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на совершение процессуальных действий погашается с истечением установленного настоящим Кодексом или назначенного судом процессуального срока.</w:t>
      </w:r>
    </w:p>
    <w:p>
      <w:pPr>
        <w:spacing w:after="120"/>
        <w:ind w:firstLine="709"/>
      </w:pPr>
      <w:r>
        <w:rPr>
          <w:sz w:val="24"/>
        </w:rPr>
        <w:t xml:space="preserve">2. Поданные по истечении процессуального срока жалобы и представленные документы, если не заявлено ходатайство о восстановлении пропущенного процессуального срока, не рассматриваются судом и возвращаются лицу, которым они были поданы или представлены.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94</dc:title>
  <dc:creator>АРБИТРАЖ! · arbi.ru</dc:creator>
  <cp:lastModifiedBy>АРБИТРАЖ!</cp:lastModifiedBy>
  <dcterms:created xsi:type="dcterms:W3CDTF">2026-10-22T18:34:16.666Z</dcterms:created>
</cp:coreProperties>
</file>