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отказа адресата принять судебную повестку или иное судебное извещение лицо, доставляющее или вручающее их, делает соответствующую отметку на судебной повестке или ином судебном извещении, которые возвращаются в суд.</w:t>
      </w:r>
    </w:p>
    <w:p>
      <w:pPr>
        <w:spacing w:after="120"/>
        <w:ind w:firstLine="709"/>
      </w:pPr>
      <w:r>
        <w:rPr>
          <w:sz w:val="24"/>
        </w:rPr>
        <w:t xml:space="preserve">2. Адресат, отказавшийся принять судебную повестку или иное судебное извещение, считается извещенным о времени и месте судебного разбирательства или совершения отдельного процессуального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100</dc:title>
  <dc:creator>АРБИТРАЖ! · arbi.ru</dc:creator>
  <cp:lastModifiedBy>АРБИТРАЖ!</cp:lastModifiedBy>
  <dcterms:created xsi:type="dcterms:W3CDTF">2026-10-22T22:54:55.326Z</dcterms:created>
</cp:coreProperties>
</file>