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109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10. Судебные расходы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соответствующее ходатайство. В случае, если соответствующее ходатайство заявлено обеими сторонами, требуемые суммы вносятся сторонами в равных частях.</w:t>
      </w:r>
    </w:p>
    <w:p>
      <w:pPr>
        <w:spacing w:after="120"/>
        <w:ind w:firstLine="709"/>
      </w:pPr>
      <w:r>
        <w:rPr>
          <w:sz w:val="24"/>
        </w:rPr>
        <w:t xml:space="preserve">(в ред. Федеральных законов от 28.11.2018 N 451-ФЗ , от 29.12.2025 N 521-ФЗ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pPr>
        <w:spacing w:after="120"/>
        <w:ind w:firstLine="709"/>
      </w:pPr>
      <w:r>
        <w:rPr>
          <w:sz w:val="24"/>
        </w:rPr>
        <w:t xml:space="preserve">3. Суд может освободить гражданина с учетом его имущественного положения от уплаты расходов, предусмотренных частью 1 настоящей статьи, или уменьшить их размер. В этом случае расходы возмещаются за счет бюджетных ассигнований федерального бюджета.</w:t>
      </w:r>
    </w:p>
    <w:p>
      <w:pPr>
        <w:spacing w:after="120"/>
        <w:ind w:firstLine="709"/>
      </w:pPr>
      <w:r>
        <w:rPr>
          <w:sz w:val="24"/>
        </w:rP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Порядок возврата сторонам неизрасходованных денежных сумм устанавливается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109</dc:title>
  <dc:creator>АРБИТРАЖ! · arbi.ru</dc:creator>
  <cp:lastModifiedBy>АРБИТРАЖ!</cp:lastModifiedBy>
  <dcterms:created xsi:type="dcterms:W3CDTF">2026-10-22T22:20:53.919Z</dcterms:created>
</cp:coreProperties>
</file>