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112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10. Судебные расходы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112 КАС РФ</w:t>
      </w:r>
    </w:p>
    <w:p>
      <w:pPr>
        <w:spacing w:after="120"/>
        <w:ind w:firstLine="709"/>
      </w:pPr>
      <w:r>
        <w:rPr>
          <w:sz w:val="24"/>
        </w:rPr>
        <w:t xml:space="preserve">- Административный истец хочет взыскать судебные расходы по делу об установлении кадастровой стоимости недвижимости равной его рыночной стоимости</w:t>
      </w:r>
    </w:p>
    <w:p>
      <w:pPr>
        <w:spacing w:after="120"/>
        <w:ind w:firstLine="709"/>
      </w:pPr>
      <w:r>
        <w:rPr>
          <w:sz w:val="24"/>
        </w:rPr>
        <w:t xml:space="preserve">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 Если сторона, обязанная возместить расходы на оплату услуг представителя, освобождена от их возмещения, указанные расходы возмещаются за счет бюджетных ассигнований федерального бюджета.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112</dc:title>
  <dc:creator>АРБИТРАЖ! · arbi.ru</dc:creator>
  <cp:lastModifiedBy>АРБИТРАЖ!</cp:lastModifiedBy>
  <dcterms:created xsi:type="dcterms:W3CDTF">2026-10-22T23:37:48.577Z</dcterms:created>
</cp:coreProperties>
</file>