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114.1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Заявление по вопросу о судебных расходах, понесенных в связи с рассмотрением административного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дела.</w:t>
      </w:r>
    </w:p>
    <w:p>
      <w:pPr>
        <w:spacing w:after="120"/>
        <w:ind w:firstLine="709"/>
      </w:pPr>
      <w:r>
        <w:rPr>
          <w:sz w:val="24"/>
        </w:rPr>
        <w:t xml:space="preserve">2. Пропущенный по уважительной причине срок подачи такого заявления может быть восстановлен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114.1</dc:title>
  <dc:creator>АРБИТРАЖ! · arbi.ru</dc:creator>
  <cp:lastModifiedBy>АРБИТРАЖ!</cp:lastModifiedBy>
  <dcterms:created xsi:type="dcterms:W3CDTF">2026-10-22T12:55:11.148Z</dcterms:created>
</cp:coreProperties>
</file>