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Меры процессуального принуждения применяются немедленно после совершения лицом соответствующего нарушения.</w:t>
      </w:r>
    </w:p>
    <w:p>
      <w:pPr>
        <w:spacing w:after="120"/>
        <w:ind w:firstLine="709"/>
      </w:pPr>
      <w:r>
        <w:rPr>
          <w:sz w:val="24"/>
        </w:rPr>
        <w:t xml:space="preserve">2. За одно нарушение может быть применена одна мера процессуального принуждения.</w:t>
      </w:r>
    </w:p>
    <w:p>
      <w:pPr>
        <w:spacing w:after="120"/>
        <w:ind w:firstLine="709"/>
      </w:pPr>
      <w:r>
        <w:rPr>
          <w:sz w:val="24"/>
        </w:rPr>
        <w:t xml:space="preserve">3. На применение мер процессуального принуждения, предусмотренных пунктом 1 части 2 статьи 116 настоящего Кодекса, суд указывает в протоколе судебного заседания. Возражения лица, в отношении которого приняты такие меры, также заносятся в протокол судебного заседания. Применение этих мер может быть обжаловано при обжаловании решения суда.</w:t>
      </w:r>
    </w:p>
    <w:p>
      <w:pPr>
        <w:spacing w:after="120"/>
        <w:ind w:firstLine="709"/>
      </w:pPr>
      <w:r>
        <w:rPr>
          <w:sz w:val="24"/>
        </w:rPr>
        <w:t xml:space="preserve">4. О применении мер процессуального принуждения, предусмотренных пунктами 4 - 6 части 2 статьи 116 настоящего Кодекса, суд выносит определение в виде отдельного судебного акта, которое может быть обжаловано отдельно от решения суда. В определении указываются лицо , в отношении которого оно вынесено, адрес, место жительства или место пребывания этого лица, основания применения меры процессуального принуждения, иные необходимые сведения, в том числе предусмотренные частью 1 статьи 199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117</dc:title>
  <dc:creator>АРБИТРАЖ! · arbi.ru</dc:creator>
  <cp:lastModifiedBy>АРБИТРАЖ!</cp:lastModifiedBy>
  <dcterms:created xsi:type="dcterms:W3CDTF">2026-10-22T20:06:07.604Z</dcterms:created>
</cp:coreProperties>
</file>