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Меры процессуального принуждения применяются немедленно после совершения лицом соответствующего нарушения.</w:t>
      </w:r>
    </w:p>
    <w:p>
      <w:pPr>
        <w:spacing w:after="120"/>
        <w:ind w:firstLine="709"/>
      </w:pPr>
      <w:r>
        <w:rPr>
          <w:sz w:val="24"/>
        </w:rPr>
        <w:t xml:space="preserve">2. За одно нарушение может быть применена одна мера процессуального принуждения.</w:t>
      </w:r>
    </w:p>
    <w:p>
      <w:pPr>
        <w:spacing w:after="120"/>
        <w:ind w:firstLine="709"/>
      </w:pPr>
      <w:r>
        <w:rPr>
          <w:sz w:val="24"/>
        </w:rPr>
        <w:t xml:space="preserve">3. На применение мер процессуального принуждения, предусмотренных пунктом 1 части 2 статьи 116 настоящего Кодекса, суд указывает в протоколе судебного заседания. Возражения лица, в отношении которого приняты такие меры, также заносятся в протокол судебного заседания. Применение этих мер может быть обжаловано при обжаловании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О применении мер процессуального принуждения, предусмотренных пунктами 4 - 6 части 2 статьи 116 настоящего Кодекса, суд выносит определение в виде отдельного судебного акта, которое может быть обжаловано отдельно от решения суда. В определении указываются лицо , в отношении которого оно вынесено, адрес, место жительства или место пребывания этого лица, основания применения меры процессуального принуждения, иные необходимые сведения, в том числе предусмотренные частью 1 статьи 199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117</dc:title>
  <dc:creator>АРБИТРАЖ! · arbi.ru</dc:creator>
  <cp:lastModifiedBy>АРБИТРАЖ!</cp:lastModifiedBy>
  <dcterms:created xsi:type="dcterms:W3CDTF">2026-10-22T18:22:24.505Z</dcterms:created>
</cp:coreProperties>
</file>