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122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11. Меры процессуального принуждения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Судебные штрафы налагаются судом в случаях, предусмотренных настоящим Кодексом . Размер судебного штрафа, налагаемого на орган государственной власти, иной государственный орган, не может превышать ста тысяч рублей, на орган местного самоуправления, иные органы и организации, которые наделены отдельными государственными или иными публичными полномочиями, - восьмидесяти тысяч рублей, на организацию - пятидесяти тысяч рублей, на должностное лицо - тридцати тысяч рублей, на государственного или муниципального служащего - десяти тысяч рублей, на гражданина -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Суд вправе наложить судебный штраф на лиц, участвующих в деле, и иных присутствующих в зале судебного заседания лиц за проявленное ими неуважение к суду . Судебный штраф за неуважение к суду налагается, если совершенные действия не влекут за собой уголовную ответственность.</w:t>
      </w:r>
    </w:p>
    <w:p>
      <w:pPr>
        <w:spacing w:after="120"/>
        <w:ind w:firstLine="709"/>
      </w:pPr>
      <w:r>
        <w:rPr>
          <w:sz w:val="24"/>
        </w:rPr>
        <w:t xml:space="preserve">3. Судебные штрафы, наложенные судом на должностных лиц государственных органов, органов местного самоуправления и других органов, организаций, на государственных и муниципальных служащих, взыскиваются из личных средств этих лиц.</w:t>
      </w:r>
    </w:p>
    <w:p>
      <w:pPr>
        <w:spacing w:after="120"/>
        <w:ind w:firstLine="709"/>
      </w:pPr>
      <w:r>
        <w:rPr>
          <w:sz w:val="24"/>
        </w:rPr>
        <w:t xml:space="preserve">4. Судебные штрафы взыскиваются в доход федерального бюджета.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122</dc:title>
  <dc:creator>АРБИТРАЖ! · arbi.ru</dc:creator>
  <cp:lastModifiedBy>АРБИТРАЖ!</cp:lastModifiedBy>
  <dcterms:created xsi:type="dcterms:W3CDTF">2026-10-22T22:56:04.318Z</dcterms:created>
</cp:coreProperties>
</file>