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В судебном приказе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номер дела и дата вынесения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фамилия и инициалы судьи, вынесшего судебный приказ;</w:t>
      </w:r>
    </w:p>
    <w:p>
      <w:pPr>
        <w:spacing w:after="120"/>
        <w:ind w:firstLine="709"/>
      </w:pPr>
      <w:r>
        <w:rPr>
          <w:sz w:val="24"/>
        </w:rPr>
        <w:t xml:space="preserve">3) наименование и адрес взыскателя;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фамилия, имя и отчество должника, его место жительства или место пребывания, один из его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а также дата и место рождения, место работы (если известно);</w:t>
      </w:r>
    </w:p>
    <w:p>
      <w:pPr>
        <w:spacing w:after="120"/>
        <w:ind w:firstLine="709"/>
      </w:pPr>
      <w:r>
        <w:rPr>
          <w:sz w:val="24"/>
        </w:rPr>
        <w:t xml:space="preserve">5) законы и иные нормативные правовые акты, которыми руководствовался суд при удовлетворении требования;</w:t>
      </w:r>
    </w:p>
    <w:p>
      <w:pPr>
        <w:spacing w:after="120"/>
        <w:ind w:firstLine="709"/>
      </w:pPr>
      <w:r>
        <w:rPr>
          <w:sz w:val="24"/>
        </w:rPr>
        <w:t xml:space="preserve">6) размер денежных сумм, подлежащих взысканию;</w:t>
      </w:r>
    </w:p>
    <w:p>
      <w:pPr>
        <w:spacing w:after="120"/>
        <w:ind w:firstLine="709"/>
      </w:pPr>
      <w:r>
        <w:rPr>
          <w:sz w:val="24"/>
        </w:rPr>
        <w:t xml:space="preserve">7) сумма государственной пошлины, подлежащая взысканию с должника в пользу взыскателя или в доход соответствующего бюджета;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взыскателя , на который должны быть перечислены средства, подлежащие взысканию;</w:t>
      </w:r>
    </w:p>
    <w:p>
      <w:pPr>
        <w:spacing w:after="120"/>
        <w:ind w:firstLine="709"/>
      </w:pPr>
      <w:r>
        <w:rPr>
          <w:sz w:val="24"/>
        </w:rPr>
        <w:t xml:space="preserve">9)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платежей.</w:t>
      </w:r>
    </w:p>
    <w:p>
      <w:pPr>
        <w:spacing w:after="120"/>
        <w:ind w:firstLine="709"/>
      </w:pPr>
      <w:r>
        <w:rPr>
          <w:sz w:val="24"/>
        </w:rPr>
        <w:t xml:space="preserve">2. Судебный приказ составляется на специальном бланке в двух экземплярах, которые подписываются судьей. Один экземпляр остается в материалах дела. Для должника изготавливается копия судебного приказа.</w:t>
      </w:r>
    </w:p>
    <w:p>
      <w:pPr>
        <w:spacing w:after="120"/>
        <w:ind w:firstLine="709"/>
      </w:pPr>
      <w:r>
        <w:rPr>
          <w:sz w:val="24"/>
        </w:rPr>
        <w:t xml:space="preserve">3. Судебный приказ может быть выполнен в форме электронного документа, подписанного усиленной квалифицированной электронной подписью, и на бумажном носителе в двух экземплярах. Экземпляры судебного приказа, выполненные на бумажном носителе, составляются на специальном бланке и подписываются судьей.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123.6</dc:title>
  <dc:creator>АРБИТРАЖ! · arbi.ru</dc:creator>
  <cp:lastModifiedBy>АРБИТРАЖ!</cp:lastModifiedBy>
  <dcterms:created xsi:type="dcterms:W3CDTF">2026-10-22T09:31:21.938Z</dcterms:created>
</cp:coreProperties>
</file>