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административного искового заявления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может содержать требования:</w:t>
      </w:r>
    </w:p>
    <w:p>
      <w:pPr>
        <w:spacing w:after="120"/>
        <w:ind w:firstLine="709"/>
      </w:pPr>
      <w:r>
        <w:rPr>
          <w:sz w:val="24"/>
        </w:rPr>
        <w:t xml:space="preserve">1) о признании не действующим полностью или в части нормативного правового акта, принятого административным ответчиком;</w:t>
      </w:r>
    </w:p>
    <w:p>
      <w:pPr>
        <w:spacing w:after="120"/>
        <w:ind w:firstLine="709"/>
      </w:pPr>
      <w:r>
        <w:rPr>
          <w:sz w:val="24"/>
        </w:rPr>
        <w:t xml:space="preserve">2) о признании незаконным полностью или в части решения, принятого административным ответчиком, либо совершенного им действия ( бездействия );</w:t>
      </w:r>
    </w:p>
    <w:p>
      <w:pPr>
        <w:spacing w:after="120"/>
        <w:ind w:firstLine="709"/>
      </w:pPr>
      <w:r>
        <w:rPr>
          <w:sz w:val="24"/>
        </w:rPr>
        <w:t xml:space="preserve">3) об обязанности административного ответчика принять решение по конкретному вопросу или совершить определенные действия в целях устранения допущенных нарушений прав, свобод и законных интересов административного истца;</w:t>
      </w:r>
    </w:p>
    <w:p>
      <w:pPr>
        <w:spacing w:after="120"/>
        <w:ind w:firstLine="709"/>
      </w:pPr>
      <w:r>
        <w:rPr>
          <w:sz w:val="24"/>
        </w:rPr>
        <w:t xml:space="preserve">4) об обязанности административного ответчика воздержаться от совершения определенных действий;</w:t>
      </w:r>
    </w:p>
    <w:p>
      <w:pPr>
        <w:spacing w:after="120"/>
        <w:ind w:firstLine="709"/>
      </w:pPr>
      <w:r>
        <w:rPr>
          <w:sz w:val="24"/>
        </w:rPr>
        <w:t xml:space="preserve">5) об установлении наличия или отсутствия полномочий на решение конкретного вопроса органом государственной власти, органом местного самоуправления, иным органом, организацией, наделенными отдельными государственными или иными публичными полномочиями, должностным лицом;</w:t>
      </w:r>
    </w:p>
    <w:p>
      <w:pPr>
        <w:spacing w:after="120"/>
        <w:ind w:firstLine="709"/>
      </w:pPr>
      <w:r>
        <w:rPr>
          <w:sz w:val="24"/>
        </w:rPr>
        <w:t xml:space="preserve">6) о присуждении компенсации за нарушение административным ответчиком прав в сфере административных и иных публичных правоотношений в случаях,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27.12.2019 N 494-ФЗ)</w:t>
      </w:r>
    </w:p>
    <w:p>
      <w:pPr>
        <w:spacing w:after="120"/>
        <w:ind w:firstLine="709"/>
      </w:pPr>
      <w:r>
        <w:rPr>
          <w:sz w:val="24"/>
        </w:rPr>
        <w:t xml:space="preserve">1.1. Наряду с требованиями, указанными в пункте 2 части 1 настоящей статьи, в административном исковом заявлении могут содержаться требования о компенсации морального вреда , причиненного оспариваемым решением, действием (бездействием).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может содержать иные требования, направленные на защиту прав, свобод и законных интересов в сфере публичных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124</dc:title>
  <dc:creator>АРБИТРАЖ! · arbi.ru</dc:creator>
  <cp:lastModifiedBy>АРБИТРАЖ!</cp:lastModifiedBy>
  <dcterms:created xsi:type="dcterms:W3CDTF">2026-10-22T07:03:34.275Z</dcterms:created>
</cp:coreProperties>
</file>