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140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Судебное разбирательство административного дела происходит устно, если настоящим Кодексом не предусмотрено иное. В случае разбирательства административного дела в судебном заседании о времени и месте судебного заседания обязательно извещаются лица, участвующие в деле, иные участники судебного разбирательства.</w:t>
      </w:r>
    </w:p>
    <w:p>
      <w:pPr>
        <w:spacing w:after="120"/>
        <w:ind w:firstLine="709"/>
      </w:pPr>
      <w:r>
        <w:rPr>
          <w:sz w:val="24"/>
        </w:rPr>
        <w:t xml:space="preserve">2. В случаях, установленных настоящим Кодексом, судебное разбирательство административного дела может осуществляться без проведения судебного заседания в порядке упрощенного (письменного) производства, предусмотренном главой 33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140</dc:title>
  <dc:creator>АРБИТРАЖ! · arbi.ru</dc:creator>
  <cp:lastModifiedBy>АРБИТРАЖ!</cp:lastModifiedBy>
  <dcterms:created xsi:type="dcterms:W3CDTF">2026-10-23T11:17:41.445Z</dcterms:created>
</cp:coreProperties>
</file>