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КАС РФ, ст. 155</w:t>
      </w:r>
    </w:p>
    <w:p>
      <w:pPr>
        <w:spacing w:after="120"/>
        <w:ind w:firstLine="709"/>
      </w:pPr>
      <w:r>
        <w:rPr>
          <w:sz w:val="24"/>
        </w:rPr>
        <w:t xml:space="preserve">Акт: Кодекс административного судопроизводства Российской Федерации № 21-ФЗ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https://www.consultant.ru/document/cons_doc_LAW_176147/</w:t>
      </w:r>
    </w:p>
    <w:p>
      <w:pPr>
        <w:spacing w:after="120"/>
        <w:ind w:firstLine="709"/>
      </w:pPr>
      <w:r>
        <w:rPr>
          <w:sz w:val="24"/>
        </w:rPr>
        <w:t xml:space="preserve">Раздел: Глава 14. Судебное разбирательство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Председательствующий в судебном заседании разъясняет эксперту и специалисту их права и обязанности, предусмотренные соответственно статьями 49 и 50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2. Председательствующий в судебном заседании предупреждает эксперта об ответственности, предусмотренной Уголовным кодексом Российской Федерации, за дачу заведомо ложного заключения, о чем у него берется подписка , которая приобщается к протоколу судебного заседания.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КАС РФ, ст. 155</dc:title>
  <dc:creator>АРБИТРАЖ! · arbi.ru</dc:creator>
  <cp:lastModifiedBy>АРБИТРАЖ!</cp:lastModifiedBy>
  <dcterms:created xsi:type="dcterms:W3CDTF">2026-10-22T22:29:20.947Z</dcterms:created>
</cp:coreProperties>
</file>