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воспроизведении аудио- и видеозаписей, содержащих сведения личного характера, и при их исследовании применяются правила, предусмотренные статьей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Воспроизведение аудио- и видеозаписей осуществляется в зале судебного заседания или ином специально оборудованном для этой цели помещении с указанием в протоколе судебного заседания основных характеристик оборудования и носителей информации, а также времени воспроизведения. После этого суд заслушивает объяснения лиц, участвующих в деле. При необходимости воспроизведение аудио- и видеозаписей может быть повторено полностью или в какой-либо части.</w:t>
      </w:r>
    </w:p>
    <w:p>
      <w:pPr>
        <w:spacing w:after="120"/>
        <w:ind w:firstLine="709"/>
      </w:pPr>
      <w:r>
        <w:rPr>
          <w:sz w:val="24"/>
        </w:rPr>
        <w:t xml:space="preserve">3. В целях выяснения содержащихся в аудио- и видеозаписях сведений судом может быть привлечен специалист. В необходимых случаях суд может назначить экспертизу.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167</dc:title>
  <dc:creator>АРБИТРАЖ! · arbi.ru</dc:creator>
  <cp:lastModifiedBy>АРБИТРАЖ!</cp:lastModifiedBy>
  <dcterms:created xsi:type="dcterms:W3CDTF">2026-10-22T23:03:22.929Z</dcterms:created>
</cp:coreProperties>
</file>