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Специалист дает суду консультацию в устной или письменной форме, исходя из профессиональных знаний, без проведения специальных исследований, назначаемых на основании определения суда.</w:t>
      </w:r>
    </w:p>
    <w:p>
      <w:pPr>
        <w:spacing w:after="120"/>
        <w:ind w:firstLine="709"/>
      </w:pPr>
      <w:r>
        <w:rPr>
          <w:sz w:val="24"/>
        </w:rPr>
        <w:t xml:space="preserve">2. Консультация специалиста, данная в письменной форме, оглашается в судебном заседании и приобщается к административному делу. Консультация и пояснения специалиста, данные в устной форме,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В целях разъяснения и дополнения консультации специалисту могут быть заданы вопросы. Первыми задают вопросы лицо, по ходатайству которого был привлечен специалист, представитель этого лица, а затем задают вопросы другие лица, участвующие в деле, их представители. Специалисту, привлеченному по инициативе суда или по ходатайству обеих сторон, первыми задают вопросы административный истец, его представитель. Суд вправе задавать вопросы специалисту в любой момент его допроса.</w:t>
      </w:r>
    </w:p>
    <w:p>
      <w:pPr>
        <w:spacing w:after="120"/>
        <w:ind w:firstLine="709"/>
      </w:pPr>
      <w:r>
        <w:rPr>
          <w:sz w:val="24"/>
        </w:rPr>
        <w:t xml:space="preserve">4. Консультация специалиста не относится к доказательствам по административному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169</dc:title>
  <dc:creator>АРБИТРАЖ! · arbi.ru</dc:creator>
  <cp:lastModifiedBy>АРБИТРАЖ!</cp:lastModifiedBy>
  <dcterms:created xsi:type="dcterms:W3CDTF">2026-10-22T22:55:56.783Z</dcterms:created>
</cp:coreProperties>
</file>