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принятия и подписания решения суд возвращается в зал судебного заседания, где председательствующий в судебном заседании или один из судей объявляет решение суда. Затем председательствующий в судебном заседании устно разъясняет содержание решения суда, порядок и срок его обжалования.</w:t>
      </w:r>
    </w:p>
    <w:p>
      <w:pPr>
        <w:spacing w:after="120"/>
        <w:ind w:firstLine="709"/>
      </w:pPr>
      <w:r>
        <w:rPr>
          <w:sz w:val="24"/>
        </w:rPr>
        <w:t xml:space="preserve">2. В случае объявления только резолютивной части решения суда председательствующий в судебном заседании разъясняет, когда будет изготовлено мотивированное решение и каким образом это решение будет доведено до сведения лиц, участвующих в деле, их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174</dc:title>
  <dc:creator>АРБИТРАЖ! · arbi.ru</dc:creator>
  <cp:lastModifiedBy>АРБИТРАЖ!</cp:lastModifiedBy>
  <dcterms:created xsi:type="dcterms:W3CDTF">2026-10-22T06:42:27.711Z</dcterms:created>
</cp:coreProperties>
</file>