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179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15.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суда излагается в письменной форме председательствующим в судебном заседании или одним из судей.</w:t>
      </w:r>
    </w:p>
    <w:p>
      <w:pPr>
        <w:spacing w:after="120"/>
        <w:ind w:firstLine="709"/>
      </w:pPr>
      <w:r>
        <w:rPr>
          <w:sz w:val="24"/>
        </w:rPr>
        <w:t xml:space="preserve">1.1. Решение суда может быть выполнено в форме электронного документа. При выполнении решения в форме электронного документа дополнительно выполняется экземпляр данного решения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23.06.2016 N 220-ФЗ)</w:t>
      </w:r>
    </w:p>
    <w:p>
      <w:pPr>
        <w:spacing w:after="120"/>
        <w:ind w:firstLine="709"/>
      </w:pPr>
      <w:r>
        <w:rPr>
          <w:sz w:val="24"/>
        </w:rPr>
        <w:t xml:space="preserve">2. Решение суда подписывается судьей при единоличном рассмотрении им административного дела или всеми судьями при рассмотрении административного дела судом в коллегиальном составе, в том числе судьей, имеющим особое мнение. Исправления, внесенные в решение суда, должны быть удостоверены подписями судей.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179</dc:title>
  <dc:creator>АРБИТРАЖ! · arbi.ru</dc:creator>
  <cp:lastModifiedBy>АРБИТРАЖ!</cp:lastModifiedBy>
  <dcterms:created xsi:type="dcterms:W3CDTF">2026-10-22T23:58:39.746Z</dcterms:created>
</cp:coreProperties>
</file>