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181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15.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принятия решения суда в пользу нескольких административных истцов суд указывает, каким образом подлежат устранению нарушения, допущенные в отношении каждого административного истца.</w:t>
      </w:r>
    </w:p>
    <w:p>
      <w:pPr>
        <w:spacing w:after="120"/>
        <w:ind w:firstLine="709"/>
      </w:pPr>
      <w:r>
        <w:rPr>
          <w:sz w:val="24"/>
        </w:rPr>
        <w:t xml:space="preserve">2. В случае принятия решения суда против нескольких административных ответчиков суд указывает, каким образом подлежат устранению нарушения, допущенные в отношении административного истца, и кем из административных ответчиков должны быть устранены такие нарушения.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181</dc:title>
  <dc:creator>АРБИТРАЖ! · arbi.ru</dc:creator>
  <cp:lastModifiedBy>АРБИТРАЖ!</cp:lastModifiedBy>
  <dcterms:created xsi:type="dcterms:W3CDTF">2026-10-22T20:38:14.713Z</dcterms:created>
</cp:coreProperties>
</file>