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Решения суда подлежат немедленному исполнению в случаях, прямо предусмотренных настоящим Кодексом , а также в случае обращения судом принятого им решения к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2. В случае отсутствия в настоящем Кодексе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исполнению, если вследствие особых обстоятельств замедление исполнения этого решения может нанести значительный ущерб публичным или частным интересам. Вопрос о немедленном исполнении решения суда может быть рассмотрен одновременно с его принятием.</w:t>
      </w:r>
    </w:p>
    <w:p>
      <w:pPr>
        <w:spacing w:after="120"/>
        <w:ind w:firstLine="709"/>
      </w:pPr>
      <w:r>
        <w:rPr>
          <w:sz w:val="24"/>
        </w:rPr>
        <w:t xml:space="preserve">3. Вопрос об обращении решения суда к немедленному исполнению разрешается в судебном заседании. Лица, участвующие в деле, извещаются о времени и месте судебного заседания, однако их неявка в судебное заседание не является препятствием к разрешению вопроса о немедленном исполнении решения суда.</w:t>
      </w:r>
    </w:p>
    <w:p>
      <w:pPr>
        <w:spacing w:after="120"/>
        <w:ind w:firstLine="709"/>
      </w:pPr>
      <w:r>
        <w:rPr>
          <w:sz w:val="24"/>
        </w:rPr>
        <w:t xml:space="preserve">4. На определение суда о немедленном исполнении решения суда или об отказе в немедленном исполнении решения суда может быть подана частная жалоба. Подача жалобы на определение о немедленном исполнении решения суда не приостанавливает исполнение данного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188</dc:title>
  <dc:creator>АРБИТРАЖ! · arbi.ru</dc:creator>
  <cp:lastModifiedBy>АРБИТРАЖ!</cp:lastModifiedBy>
  <dcterms:created xsi:type="dcterms:W3CDTF">2026-10-22T22:46:54.177Z</dcterms:created>
</cp:coreProperties>
</file>