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Определение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выявлении случаев нарушения законности суд выносит частное определение и не позднее следующего рабочего дня после дня вынесения частного определения направляет его копии в соответствующие органы, организации или соответствующим должностным лицам, которые обязаны сообщить в суд о принятых ими мерах по устранению выявленных нарушений в течение одного месяца со дня вынесения частного определения, если иной срок не установлен в частном определении.</w:t>
      </w:r>
    </w:p>
    <w:p>
      <w:pPr>
        <w:spacing w:after="120"/>
        <w:ind w:firstLine="709"/>
      </w:pPr>
      <w:r>
        <w:rPr>
          <w:sz w:val="24"/>
        </w:rPr>
        <w:t xml:space="preserve">2. Частное определение может быть обжаловано лицами, интересы которых затрагиваются этим определением.</w:t>
      </w:r>
    </w:p>
    <w:p>
      <w:pPr>
        <w:spacing w:after="120"/>
        <w:ind w:firstLine="709"/>
      </w:pPr>
      <w:r>
        <w:rPr>
          <w:sz w:val="24"/>
        </w:rPr>
        <w:t xml:space="preserve">3. Несообщение в суд о принятых мерах по устранению выявленных нарушений законности влечет наложение на виновных должностных лиц судебного штрафа в порядке и размере, предусмотренных статьями 122 и 123 настоящего Кодекса. Наложение судебного штрафа не освобождает соответствующих должностных лиц от обязанности сообщить о принятии указанных мер.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при рассмотрении административного дела суд обнаружит в действиях лиц, участвующих в деле, иных участников судебного разбирательства, должностных лиц или иных лиц признаки преступления, суд сообщает об этом в органы дознания или предварительного следствия.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200</dc:title>
  <dc:creator>АРБИТРАЖ! · arbi.ru</dc:creator>
  <cp:lastModifiedBy>АРБИТРАЖ!</cp:lastModifiedBy>
  <dcterms:created xsi:type="dcterms:W3CDTF">2026-10-22T18:22:14.521Z</dcterms:created>
</cp:coreProperties>
</file>