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первой инстанции, не подлежащее обжалованию отдельно от обжалования решения суда, вступает в законную силу с момента принятия этого определения. Определение суда первой инстанции, подлежащее обжалованию, вступает в законную силу по истечении срока подачи частной жалобы, если такая жалоба не была подана, а в случае ее подачи после рассмотрения судом такой жалобы в апелляционном порядке при условии, что обжалуемое определение не будет отменено.</w:t>
      </w:r>
    </w:p>
    <w:p>
      <w:pPr>
        <w:spacing w:after="120"/>
        <w:ind w:firstLine="709"/>
      </w:pPr>
      <w:r>
        <w:rPr>
          <w:sz w:val="24"/>
        </w:rPr>
        <w:t xml:space="preserve">2. Если реализация определения суда первой инстанции требует совершения конкретных действий, эти действия совершаются в сроки, предусмотренные настоящим Кодексом , или в сроки, установленные судом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203</dc:title>
  <dc:creator>АРБИТРАЖ! · arbi.ru</dc:creator>
  <cp:lastModifiedBy>АРБИТРАЖ!</cp:lastModifiedBy>
  <dcterms:created xsi:type="dcterms:W3CDTF">2026-10-22T16:28:54.298Z</dcterms:created>
</cp:coreProperties>
</file>