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209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21. Производство по административным делам об оспаривании нормативных правовых актов и актов, содержащих разъяснения законодательства и обладающих нормативными свойствами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Форма административного искового заявления должна соответствовать требованиям, предусмотренным частями 1 , 8 и 9 статьи 125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административном исковом заявлении об оспаривании нормативного правового акта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сведения, предусмотренные пунктами 1 , 2 , 9 части 2 и частью 6 статьи 125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наименование органа государственной власти, органа местного самоуправления, иного органа, уполномоченной организации, должностного лица, принявших оспариваемый нормативный правовой акт;</w:t>
      </w:r>
    </w:p>
    <w:p>
      <w:pPr>
        <w:spacing w:after="120"/>
        <w:ind w:firstLine="709"/>
      </w:pPr>
      <w:r>
        <w:rPr>
          <w:sz w:val="24"/>
        </w:rPr>
        <w:t xml:space="preserve">3) наименование, номер, дата принятия оспариваемого нормативного правового акта, источник и дата его опубликования;</w:t>
      </w:r>
    </w:p>
    <w:p>
      <w:pPr>
        <w:spacing w:after="120"/>
        <w:ind w:firstLine="709"/>
      </w:pPr>
      <w:r>
        <w:rPr>
          <w:sz w:val="24"/>
        </w:rPr>
        <w:t xml:space="preserve">4) сведения о применении оспариваемого нормативного правового акта к административному истцу или о том, что административный истец является субъектом отношений, регулируемых этим актом;</w:t>
      </w:r>
    </w:p>
    <w:p>
      <w:pPr>
        <w:spacing w:after="120"/>
        <w:ind w:firstLine="709"/>
      </w:pPr>
      <w:r>
        <w:rPr>
          <w:sz w:val="24"/>
        </w:rPr>
        <w:t xml:space="preserve">5) сведения о том, какие права, свободы и законные интересы лица, обратившегося в суд, нарушены, а при подаче такого заявления организациями и лицами, указанными в частях 2 , 3 и 4 статьи 208 настоящего Кодекса, какие права, свободы и законные интересы иных лиц, в интересах которых подано административное исковое заявление, нарушены, или о том, что существует реальная угроза их нарушения;</w:t>
      </w:r>
    </w:p>
    <w:p>
      <w:pPr>
        <w:spacing w:after="120"/>
        <w:ind w:firstLine="709"/>
      </w:pPr>
      <w:r>
        <w:rPr>
          <w:sz w:val="24"/>
        </w:rPr>
        <w:t xml:space="preserve">6) наименование и отдельные положения нормативного правового акта, который имеет большую юридическую силу и на соответствие которому надлежит проверить оспариваемый нормативный правовой акт полностью или в части;</w:t>
      </w:r>
    </w:p>
    <w:p>
      <w:pPr>
        <w:spacing w:after="120"/>
        <w:ind w:firstLine="709"/>
      </w:pPr>
      <w:r>
        <w:rPr>
          <w:sz w:val="24"/>
        </w:rPr>
        <w:t xml:space="preserve">7) ходатайства, обусловленные невозможностью приобщения каких-либо документов из числа указанных в части 3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8) требование о признании оспариваемого нормативного правового акта недействующим с указанием на несоответствие законодательству Российской Федерации всего нормативного правового акта или отдельных его положений.</w:t>
      </w:r>
    </w:p>
    <w:p>
      <w:pPr>
        <w:spacing w:after="120"/>
        <w:ind w:firstLine="709"/>
      </w:pPr>
      <w:r>
        <w:rPr>
          <w:sz w:val="24"/>
        </w:rPr>
        <w:t xml:space="preserve">3. К административному исковому заявлению о признании нормативного правового акта недействующим прилагаются документы, указанные в пунктах 1 , 2 , 4 и 5 части 1 статьи 126 настоящего Кодекса, документы, подтверждающие сведения, указанные в пункте 4 части 2 настоящей статьи, а также копия оспариваемого нормативного правового акта.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209</dc:title>
  <dc:creator>АРБИТРАЖ! · arbi.ru</dc:creator>
  <cp:lastModifiedBy>АРБИТРАЖ!</cp:lastModifiedBy>
  <dcterms:created xsi:type="dcterms:W3CDTF">2026-10-22T15:08:11.197Z</dcterms:created>
</cp:coreProperties>
</file>