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214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прекращает производство по административному делу об оспаривании нормативного правового акта, если установит, что имеются основания, предусмотренные частью 6 статьи 39 , частью 7 статьи 40 , пунктами 1 - 3 , 5 и 6 части 1 статьи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также вправе прекратить производство по административному делу об оспаривании нормативного правового акта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оспариваемый нормативный правовой акт утратил силу, отменен или изменен и перестал затрагивать права, свободы и законные интересы административного истца;</w:t>
      </w:r>
    </w:p>
    <w:p>
      <w:pPr>
        <w:spacing w:after="120"/>
        <w:ind w:firstLine="709"/>
      </w:pPr>
      <w:r>
        <w:rPr>
          <w:sz w:val="24"/>
        </w:rPr>
        <w:t xml:space="preserve">2) лицо, обратившееся в суд, отказалось от своего требования и отсутствуют публичные интересы, препятствующие принятию судом данного отказа.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Прекращение производства по административному делу об оспаривании нормативного правового акта по основаниям, указанным в пунктах 3 , 5 , 6 части 1 статьи 194 настоящего Кодекса и пункте 2 части 2 настоящей статьи, не препятствует обращению в суд иных лиц, полагающих, что оспариваемым нормативным правовым актом затрагиваются или нарушаются их права, свободы и законные интересы.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214</dc:title>
  <dc:creator>АРБИТРАЖ! · arbi.ru</dc:creator>
  <cp:lastModifiedBy>АРБИТРАЖ!</cp:lastModifiedBy>
  <dcterms:created xsi:type="dcterms:W3CDTF">2026-10-22T11:37:10.572Z</dcterms:created>
</cp:coreProperties>
</file>