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216</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21.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pPr>
        <w:spacing w:after="120"/>
        <w:ind w:firstLine="709"/>
      </w:pPr>
      <w:r>
        <w:rPr>
          <w:sz w:val="24"/>
        </w:rPr>
        <w:t xml:space="preserve">2. 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pPr>
        <w:spacing w:after="120"/>
        <w:ind w:firstLine="709"/>
      </w:pPr>
      <w:r>
        <w:rPr>
          <w:sz w:val="24"/>
        </w:rPr>
        <w:t xml:space="preserve">3. 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pPr>
        <w:spacing w:after="120"/>
        <w:ind w:firstLine="709"/>
      </w:pPr>
      <w:r>
        <w:rPr>
          <w:sz w:val="24"/>
        </w:rPr>
        <w:t xml:space="preserve">4. В случае, если в связи с признанием судом нормативного правового акта не действующим полностью или в части выявлена недостаточная правовая урегулированность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pPr>
        <w:spacing w:after="120"/>
        <w:ind w:firstLine="709"/>
      </w:pPr>
      <w:r>
        <w:rPr>
          <w:sz w:val="24"/>
        </w:rPr>
        <w:t xml:space="preserve">5. Требования об оспаривании нормативных правовых актов, указанных в части 2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части 3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 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 признан недействующим. В случае возражения административного ответчика против проведения процедуры упрощенного (письменного) производства судебное разбирательство проводится устно.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216</dc:title>
  <dc:creator>АРБИТРАЖ! · arbi.ru</dc:creator>
  <cp:lastModifiedBy>АРБИТРАЖ!</cp:lastModifiedBy>
  <dcterms:created xsi:type="dcterms:W3CDTF">2026-10-22T19:03:39.138Z</dcterms:created>
</cp:coreProperties>
</file>