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231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23. Производство по административным делам, рассматриваемым Дисциплинарной коллегией Верховного Суда Российской Федерации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жалобе (обращении), подаваемой в Дисциплинарную коллегию, должны быть указаны:</w:t>
      </w:r>
    </w:p>
    <w:p>
      <w:pPr>
        <w:spacing w:after="120"/>
        <w:ind w:firstLine="709"/>
      </w:pPr>
      <w:r>
        <w:rPr>
          <w:sz w:val="24"/>
        </w:rPr>
        <w:t xml:space="preserve">1) Дисциплинарная коллегия в качестве органа, в который подается жалоба (обращение);</w:t>
      </w:r>
    </w:p>
    <w:p>
      <w:pPr>
        <w:spacing w:after="120"/>
        <w:ind w:firstLine="709"/>
      </w:pPr>
      <w:r>
        <w:rPr>
          <w:sz w:val="24"/>
        </w:rPr>
        <w:t xml:space="preserve">2) лицо, подающее жалобу (обращение), его почтовый адрес, адрес электронной почты, номер телефона (при согласии лица на получение судебных извещений и вызовов по данным адресу электронной почты, номеру телефона);</w:t>
      </w:r>
    </w:p>
    <w:p>
      <w:pPr>
        <w:spacing w:after="120"/>
        <w:ind w:firstLine="709"/>
      </w:pPr>
      <w:r>
        <w:rPr>
          <w:sz w:val="24"/>
        </w:rPr>
        <w:t xml:space="preserve">(п. 2 в ред. Федерального закона от 24.07.2023 N 349-ФЗ)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решение, с которым не согласен административный истец, а также наименование квалификационной коллегии судей, принявшей данное решение;</w:t>
      </w:r>
    </w:p>
    <w:p>
      <w:pPr>
        <w:spacing w:after="120"/>
        <w:ind w:firstLine="709"/>
      </w:pPr>
      <w:r>
        <w:rPr>
          <w:sz w:val="24"/>
        </w:rPr>
        <w:t xml:space="preserve">4) требование, обращенное к Дисциплинарной коллегии;</w:t>
      </w:r>
    </w:p>
    <w:p>
      <w:pPr>
        <w:spacing w:after="120"/>
        <w:ind w:firstLine="709"/>
      </w:pPr>
      <w:r>
        <w:rPr>
          <w:sz w:val="24"/>
        </w:rPr>
        <w:t xml:space="preserve">5) обстоятельства, на которых административный истец основывает свои требования, и доказательства, подтверждающие эти обстоятельства;</w:t>
      </w:r>
    </w:p>
    <w:p>
      <w:pPr>
        <w:spacing w:after="120"/>
        <w:ind w:firstLine="709"/>
      </w:pPr>
      <w:r>
        <w:rPr>
          <w:sz w:val="24"/>
        </w:rPr>
        <w:t xml:space="preserve">6) сведения о представителе;</w:t>
      </w:r>
    </w:p>
    <w:p>
      <w:pPr>
        <w:spacing w:after="120"/>
        <w:ind w:firstLine="709"/>
      </w:pPr>
      <w:r>
        <w:rPr>
          <w:sz w:val="24"/>
        </w:rPr>
        <w:t xml:space="preserve">7) перечень прилагаемых к заявлению документов.</w:t>
      </w:r>
    </w:p>
    <w:p>
      <w:pPr>
        <w:spacing w:after="120"/>
        <w:ind w:firstLine="709"/>
      </w:pPr>
      <w:r>
        <w:rPr>
          <w:sz w:val="24"/>
        </w:rPr>
        <w:t xml:space="preserve">2. В жалобе (обращении) также могут содержаться иные сведения, которые могут быть использованы для направления корреспонденции.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231</dc:title>
  <dc:creator>АРБИТРАЖ! · arbi.ru</dc:creator>
  <cp:lastModifiedBy>АРБИТРАЖ!</cp:lastModifiedBy>
  <dcterms:created xsi:type="dcterms:W3CDTF">2026-10-22T12:17:32.138Z</dcterms:created>
</cp:coreProperties>
</file>