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242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24. Производство по административным делам о защите избирательных прав и права на участие в референдуме граждан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прекращает производство по административному делу о защите избирательных прав и права на участие в референдуме граждан Российской Федерации, если установит, что имеются основания, предусмотренные частью 6 статьи 39 , частью 7 статьи 40 , пунктами 1 - 4 и 6 части 1 и частью 2 статьи 194 настоящего Кодекса, а по административным делам, связанным с отказом в регистрации кандидата или отмене регистрации кандидата, также по основаниям, предусмотренным пунктом 5 части 1 статьи 194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Производство по административному делу также подлежит прекращению в случае:</w:t>
      </w:r>
    </w:p>
    <w:p>
      <w:pPr>
        <w:spacing w:after="120"/>
        <w:ind w:firstLine="709"/>
      </w:pPr>
      <w:r>
        <w:rPr>
          <w:sz w:val="24"/>
        </w:rPr>
        <w:t xml:space="preserve">1) если до принятия судом решения избирательное объединение исключило из выдвинутого им списка кандидата, совершившего следующие действия, послужившие поводом для обращения в суд:</w:t>
      </w:r>
    </w:p>
    <w:p>
      <w:pPr>
        <w:spacing w:after="120"/>
        <w:ind w:firstLine="709"/>
      </w:pPr>
      <w:r>
        <w:rPr>
          <w:sz w:val="24"/>
        </w:rPr>
        <w:t xml:space="preserve">а) кандидат в своих выступлениях на публичных мероприятиях, в средствах массовой информации или в распространяемых им материалах (в том числе размещаемых в информационно-телекоммуникационных сетях, доступ к которым не ограничен определенным кругом лиц, включая сеть "Интернет") призывал к совершению деяний, определяемых федеральным законом как экстремистская деятельность, либо иным способом побуждал к таким деяниям, а также обосновывал или оправдывал экстремизм;</w:t>
      </w:r>
    </w:p>
    <w:p>
      <w:pPr>
        <w:spacing w:after="120"/>
        <w:ind w:firstLine="709"/>
      </w:pPr>
      <w:r>
        <w:rPr>
          <w:sz w:val="24"/>
        </w:rPr>
        <w:t xml:space="preserve">б) кандидат совершал действия, направленные на возбуждение социальной, расовой, национальной или религиозной розни, унижение национального достоинства, пропаганду исключительности, превосходства или неполноценности граждан по признаку их отношения к религии, социальной, расовой, национальной, религиозной или языковой принадлежности;</w:t>
      </w:r>
    </w:p>
    <w:p>
      <w:pPr>
        <w:spacing w:after="120"/>
        <w:ind w:firstLine="709"/>
      </w:pPr>
      <w:r>
        <w:rPr>
          <w:sz w:val="24"/>
        </w:rPr>
        <w:t xml:space="preserve">в) кандидат пропагандировал и публично демонстрировал нацистскую атрибутику или символику либо атрибутику или символику, сходные с нацистской атрибутикой или символикой до степени их смешения;</w:t>
      </w:r>
    </w:p>
    <w:p>
      <w:pPr>
        <w:spacing w:after="120"/>
        <w:ind w:firstLine="709"/>
      </w:pPr>
      <w:r>
        <w:rPr>
          <w:sz w:val="24"/>
        </w:rPr>
        <w:t xml:space="preserve">2) если судом установлено, что административный истец не отвечает требованиям, установленным частью 16 статьи 239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242</dc:title>
  <dc:creator>АРБИТРАЖ! · arbi.ru</dc:creator>
  <cp:lastModifiedBy>АРБИТРАЖ!</cp:lastModifiedBy>
  <dcterms:created xsi:type="dcterms:W3CDTF">2026-10-22T12:55:26.295Z</dcterms:created>
</cp:coreProperties>
</file>