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248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25. Производство по административным делам об оспаривании результатов определения кадастровой стоимости, об оспаривании решений и действий (бездействия) бюджетного учреждения, связанных с определением кадастровой стоимости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Основанием для пересмотра результатов определения кадастровой стоимости является:</w:t>
      </w:r>
    </w:p>
    <w:p>
      <w:pPr>
        <w:spacing w:after="120"/>
        <w:ind w:firstLine="709"/>
      </w:pPr>
      <w:r>
        <w:rPr>
          <w:sz w:val="24"/>
        </w:rPr>
        <w:t xml:space="preserve">1) недостоверность сведений об объекте недвижимости, использованных при определении его кадастровой стоимости;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признании не соответствующим Конституции РФ п. 2 ч. 1 ст. 248 по смыслу, придаваемому правоприменительной практикой, см. Постановление КС РФ 11.07.2017 N 20-П. О правовом регулировании до внесения соответствующих изменений см. п. 3 указанного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2) установление в отношении объекта недвижимости его рыночной стоимости на дату, по состоянию на которую установлена его кадастровая стоимость;</w:t>
      </w:r>
    </w:p>
    <w:p>
      <w:pPr>
        <w:spacing w:after="120"/>
        <w:ind w:firstLine="709"/>
      </w:pPr>
      <w:r>
        <w:rPr>
          <w:sz w:val="24"/>
        </w:rPr>
        <w:t xml:space="preserve">3) установление в отношении объекта недвижимости его рыночной стоимости на дату, по состоянию на которую проведена рыночная оценка объекта недвижимости и которая указана в отчете об оценке рыночной стоимости объекта недвижимости, приложенном к заявлению об установлении кадастровой стоимости объекта недвижимости в размере его рыночной стоимости, подававшемуся в бюджетное учреждение (в течение шести месяцев с даты, по состоянию на которую проведена рыночная оценка объекта недвижимости).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24.07.2023 N 349-ФЗ)</w:t>
      </w:r>
    </w:p>
    <w:p>
      <w:pPr>
        <w:spacing w:after="120"/>
        <w:ind w:firstLine="709"/>
      </w:pPr>
      <w:r>
        <w:rPr>
          <w:sz w:val="24"/>
        </w:rPr>
        <w:t xml:space="preserve">2. Если в судебном заседании будет установлено, что предмет административного искового заявления по существу не соответствует части 1 настоящей статьи, суд предлагает административному истцу уточнить заявленные требования. В противном случае суд оставляет заявление без рассмотрения на основании части 2 статьи 196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248</dc:title>
  <dc:creator>АРБИТРАЖ! · arbi.ru</dc:creator>
  <cp:lastModifiedBy>АРБИТРАЖ!</cp:lastModifiedBy>
  <dcterms:created xsi:type="dcterms:W3CDTF">2026-10-22T20:05:59.085Z</dcterms:created>
</cp:coreProperties>
</file>