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административного искового заявления о присуждении компенсации к производству суда решается судьей единолично в трехдневный срок со дня поступления такого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присуждении компенсации принимается к производству суда, если отсутствуют основания для оставления его без движения или возвращения.</w:t>
      </w:r>
    </w:p>
    <w:p>
      <w:pPr>
        <w:spacing w:after="120"/>
        <w:ind w:firstLine="709"/>
      </w:pPr>
      <w:r>
        <w:rPr>
          <w:sz w:val="24"/>
        </w:rPr>
        <w:t xml:space="preserve">3. Пропуск срока на обращение в суд не является основанием для отказа в принятии административного искового заявления о присуждении компенсации, оставления его без движения или возвращения.</w:t>
      </w:r>
    </w:p>
    <w:p>
      <w:pPr>
        <w:spacing w:after="120"/>
        <w:ind w:firstLine="709"/>
      </w:pPr>
      <w:r>
        <w:rPr>
          <w:sz w:val="24"/>
        </w:rPr>
        <w:t xml:space="preserve">4. В определении о принятии административного искового заявления о присуждении компенсации к производству суда указываются сведения, предусмотренные частью 2 статьи 127 настоящего Кодекса, а также время и место проведения судебного заседания по рассмотрению этого заявления.</w:t>
      </w:r>
    </w:p>
    <w:p>
      <w:pPr>
        <w:spacing w:after="120"/>
        <w:ind w:firstLine="709"/>
      </w:pPr>
      <w:r>
        <w:rPr>
          <w:sz w:val="24"/>
        </w:rPr>
        <w:t xml:space="preserve">5. Копии определения о принятии административного искового заявления о присуждении компенсации направляются административному истцу, в орган , организацию или должностному лицу, на которых возложены обязанности по исполнению судебных актов, а также заинтересованным лицам не позднее следующего рабочего дня после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253</dc:title>
  <dc:creator>АРБИТРАЖ! · arbi.ru</dc:creator>
  <cp:lastModifiedBy>АРБИТРАЖ!</cp:lastModifiedBy>
  <dcterms:created xsi:type="dcterms:W3CDTF">2026-10-22T21:37:03.299Z</dcterms:created>
</cp:coreProperties>
</file>