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Производство по административным делам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Определение суда, вынесенное по административному делу о присуждении компенсации, может быть обжаловано в суд апелляционной инстанции отдельно от решения суда лицами, участвующими в деле (частная жалоба), а прокурором может быть принесено представление.</w:t>
      </w:r>
    </w:p>
    <w:p>
      <w:pPr>
        <w:spacing w:after="120"/>
        <w:ind w:firstLine="709"/>
      </w:pPr>
      <w:r>
        <w:rPr>
          <w:sz w:val="24"/>
        </w:rPr>
        <w:t xml:space="preserve">2. Частная жалоба, представление на определение, указанное в части 1 настоящей статьи, рассматриваются апелляционным судом общей юрисдикции, за исключением частной жалобы, представления на определение Верховного Суда Российской Федерации, которые рассматриваются Апелляционной коллегией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261</dc:title>
  <dc:creator>АРБИТРАЖ! · arbi.ru</dc:creator>
  <cp:lastModifiedBy>АРБИТРАЖ!</cp:lastModifiedBy>
  <dcterms:created xsi:type="dcterms:W3CDTF">2026-10-22T16:44:07.827Z</dcterms:created>
</cp:coreProperties>
</file>