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КАС РФ, ст. 261</w:t>
      </w:r>
    </w:p>
    <w:p>
      <w:pPr>
        <w:spacing w:after="120"/>
        <w:ind w:firstLine="709"/>
      </w:pPr>
      <w:r>
        <w:rPr>
          <w:sz w:val="24"/>
        </w:rPr>
        <w:t xml:space="preserve">Акт: Кодекс административного судопроизводства Российской Федерации № 21-ФЗ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https://www.consultant.ru/document/cons_doc_LAW_176147/</w:t>
      </w:r>
    </w:p>
    <w:p>
      <w:pPr>
        <w:spacing w:after="120"/>
        <w:ind w:firstLine="709"/>
      </w:pPr>
      <w:r>
        <w:rPr>
          <w:sz w:val="24"/>
        </w:rPr>
        <w:t xml:space="preserve">Раздел: Глава 26. Производство по административным делам о присуждении компенсации за нарушение права на судопроизводство в разумный срок или права на исполнение судебного акта в разумный срок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Определение суда, вынесенное по административному делу о присуждении компенсации, может быть обжаловано в суд апелляционной инстанции отдельно от решения суда лицами, участвующими в деле (частная жалоба), а прокурором может быть принесено представление.</w:t>
      </w:r>
    </w:p>
    <w:p>
      <w:pPr>
        <w:spacing w:after="120"/>
        <w:ind w:firstLine="709"/>
      </w:pPr>
      <w:r>
        <w:rPr>
          <w:sz w:val="24"/>
        </w:rPr>
        <w:t xml:space="preserve">2. Частная жалоба, представление на определение, указанное в части 1 настоящей статьи, рассматриваются апелляционным судом общей юрисдикции, за исключением частной жалобы, представления на определение Верховного Суда Российской Федерации, которые рассматриваются Апелляционной коллегией Верховного Суда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(часть 2 в ред. Федерального закона от 28.11.2018 N 451-ФЗ)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КАС РФ, ст. 261</dc:title>
  <dc:creator>АРБИТРАЖ! · arbi.ru</dc:creator>
  <cp:lastModifiedBy>АРБИТРАЖ!</cp:lastModifiedBy>
  <dcterms:created xsi:type="dcterms:W3CDTF">2026-10-22T21:21:36.571Z</dcterms:created>
</cp:coreProperties>
</file>