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к судебному разбирательству судья определяет круг лиц, участвующих в деле, права и законные интересы которых может затронуть судебное решение. В случае выявления таких лиц суд привлекает их к участию в деле, извещает о времени и месте судебного заседания. В случае установления лица, действия которого послужили поводом для подачи административного искового заявления о признании информации запрещенной, суд привлекает его к участию в деле в качестве административного ответчика.</w:t>
      </w:r>
    </w:p>
    <w:p>
      <w:pPr>
        <w:spacing w:after="120"/>
        <w:ind w:firstLine="709"/>
      </w:pPr>
      <w:r>
        <w:rPr>
          <w:sz w:val="24"/>
        </w:rPr>
        <w:t xml:space="preserve">2. К участию в рассмотрении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в качестве заинтересованного лица привлекается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pPr>
        <w:spacing w:after="120"/>
        <w:ind w:firstLine="709"/>
      </w:pPr>
      <w:r>
        <w:rPr>
          <w:sz w:val="24"/>
        </w:rPr>
        <w:t xml:space="preserve">3. Извещение о времени и месте рассмотрения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не позднее десяти дней до дня проведения судебного заседания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возбуждения производства по административному делу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судья вправе принять меры предварительной защиты в виде ограничения доступа к данной информации. Указанные и иные предусмотренные федеральным законом меры могут быть приняты судьей по заявлению лица, участвующего в деле, или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5. Судья оставляет административное исковое заявление о признании информации запрещенной без рассмотрения, если административным истцом не соблюден предусмотренный законом досудебный порядок признания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запрещено.</w:t>
      </w:r>
    </w:p>
    <w:p>
      <w:pPr>
        <w:spacing w:after="120"/>
        <w:ind w:firstLine="709"/>
      </w:pPr>
      <w:r>
        <w:rPr>
          <w:sz w:val="24"/>
        </w:rPr>
        <w:t xml:space="preserve">6. Судья прекращает производство по административному делу, если указанные в нем доменное имя, указатель страницы сайта в информационно-телекоммуникационной сети "Интернет" включены в единую автоматизированную информационную систему "Единый реестр доменных имен, указателей страниц сайтов в информационно-телекоммуникационной сети "Интернет" и сетевых адресов, позволяющих идентифицировать сайты в информационно-телекоммуникационной сети "Интернет", содержащие информацию, распространение которой в Российской Федерации запрещено".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265.3</dc:title>
  <dc:creator>АРБИТРАЖ! · arbi.ru</dc:creator>
  <cp:lastModifiedBy>АРБИТРАЖ!</cp:lastModifiedBy>
  <dcterms:created xsi:type="dcterms:W3CDTF">2026-10-22T22:29:41.789Z</dcterms:created>
</cp:coreProperties>
</file>