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31.2. Производство по административным делам, связанным с пребыванием несовершеннолетнего в центре временного содержания для несовершеннолетних правонарушителей органа внутренних дел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 помещении несовершеннолетнего в центр временного содержания подается в суд органом внутренних дел по месту задержания несовершеннолетнего либо по месту нахождения центра временного содержания не позднее чем за двадцать четыре часа до истечения срока нахождения несовершеннолетнего в центре временного содержания.</w:t>
      </w:r>
    </w:p>
    <w:p>
      <w:pPr>
        <w:spacing w:after="120"/>
        <w:ind w:firstLine="709"/>
      </w:pPr>
      <w:r>
        <w:rPr>
          <w:sz w:val="24"/>
        </w:rPr>
        <w:t xml:space="preserve">2. В случае, если задержание к несовершеннолетнему не применялось, административное исковое заявление подается в суд органом внутренних дел по месту совершения общественно опасного деяния несовершеннолетним, не достигшим к моменту совершения этого деяния возраста , с которого наступает уголовная ответственность, в течение одного месяца со дня вынесения постановления о прекращении уголовного дела в отношении указанного несовершеннолетнего или об отказе в его возбуждении либо возникновения иных обстоятельств, являющихся в соответствии с федеральным законом основанием для помещения несовершеннолетнего в центр временного содержания.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исковое заявление о продлении установленного судом срока пребывания несовершеннолетнего в центре временного содержания подается органом внутренних дел в суд по месту нахождения соответствующего центра не позднее чем за двадцать четыре часа до истечения срока нахождения в нем несовершеннолетнего.</w:t>
      </w:r>
    </w:p>
    <w:p>
      <w:pPr>
        <w:spacing w:after="120"/>
        <w:ind w:firstLine="709"/>
      </w:pPr>
      <w:r>
        <w:rPr>
          <w:sz w:val="24"/>
        </w:rPr>
        <w:t xml:space="preserve">4. Несоблюдение установленных частями 1 и 3 настоящей статьи сроков не влечет возвращения или отказа в принятии административного искового заявления, а также не является основанием для отказа в его удовлетворении.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285.6</dc:title>
  <dc:creator>АРБИТРАЖ! · arbi.ru</dc:creator>
  <cp:lastModifiedBy>АРБИТРАЖ!</cp:lastModifiedBy>
  <dcterms:created xsi:type="dcterms:W3CDTF">2026-10-22T14:06:32.668Z</dcterms:created>
</cp:coreProperties>
</file>