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31.2. Производство по административным делам, связанным с пребыванием несовершеннолетнего в центре временного содержания для несовершеннолетних правонарушителей органа внутренних дел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Вопрос о принятии к производству суда административного искового заявления, связанного с пребыванием несовершеннолетнего в центре временного содержания, разрешается судьей незамедлительно.</w:t>
      </w:r>
    </w:p>
    <w:p>
      <w:pPr>
        <w:spacing w:after="120"/>
        <w:ind w:firstLine="709"/>
      </w:pPr>
      <w:r>
        <w:rPr>
          <w:sz w:val="24"/>
        </w:rPr>
        <w:t xml:space="preserve">2. О возбуждении производства по административному делу суд информирует уполномоченного по правам ребенка в субъекте Российской Федерации, который вправе участвовать в рассмотрении административного дела и дать заключение по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285.8</dc:title>
  <dc:creator>АРБИТРАЖ! · arbi.ru</dc:creator>
  <cp:lastModifiedBy>АРБИТРАЖ!</cp:lastModifiedBy>
  <dcterms:created xsi:type="dcterms:W3CDTF">2026-10-23T14:02:39.089Z</dcterms:created>
</cp:coreProperties>
</file>