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293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33. Рассмотрение административных дел в порядке упрощенного (письменного) 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по административному делу, рассмотренному в порядке упрощенного (письменного) производства, принимается с учетом правил, установленных главой 15 настоящего Кодекса и соответствующих существу упрощенного (письменного) производства.</w:t>
      </w:r>
    </w:p>
    <w:p>
      <w:pPr>
        <w:spacing w:after="120"/>
        <w:ind w:firstLine="709"/>
      </w:pPr>
      <w:r>
        <w:rPr>
          <w:sz w:val="24"/>
        </w:rPr>
        <w:t xml:space="preserve">2. Копия решения направляется лицам, участвующим в деле, не позднее следующего рабочего дня после дня принятия решения.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293</dc:title>
  <dc:creator>АРБИТРАЖ! · arbi.ru</dc:creator>
  <cp:lastModifiedBy>АРБИТРАЖ!</cp:lastModifiedBy>
  <dcterms:created xsi:type="dcterms:W3CDTF">2026-10-23T00:42:51.686Z</dcterms:created>
</cp:coreProperties>
</file>