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33. Рассмотрение административных дел в порядке упрощенного (письменного)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по административному делу, рассмотренному в порядке упрощенного (письменного) производства, принимается с учетом правил, установленных главой 15 настоящего Кодекса и соответствующих существу упрощенного (письменного) производства.</w:t>
      </w:r>
    </w:p>
    <w:p>
      <w:pPr>
        <w:spacing w:after="120"/>
        <w:ind w:firstLine="709"/>
      </w:pPr>
      <w:r>
        <w:rPr>
          <w:sz w:val="24"/>
        </w:rPr>
        <w:t xml:space="preserve">2. Копия решения направляется лицам, участвующим в деле, не позднее следующего рабочего дня после дня принятия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293</dc:title>
  <dc:creator>АРБИТРАЖ! · arbi.ru</dc:creator>
  <cp:lastModifiedBy>АРБИТРАЖ!</cp:lastModifiedBy>
  <dcterms:created xsi:type="dcterms:W3CDTF">2026-10-22T18:02:55.563Z</dcterms:created>
</cp:coreProperties>
</file>