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если иное не установлено настоящим Кодексом, апелляционные жалобы, представления рассматриваются:</w:t>
      </w:r>
    </w:p>
    <w:p>
      <w:pPr>
        <w:spacing w:after="120"/>
        <w:ind w:firstLine="709"/>
      </w:pPr>
      <w:r>
        <w:rPr>
          <w:sz w:val="24"/>
        </w:rPr>
        <w:t xml:space="preserve">1) верховным судом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 - на решения районных судов, решения гарнизонных военных судов;</w:t>
      </w:r>
    </w:p>
    <w:p>
      <w:pPr>
        <w:spacing w:after="120"/>
        <w:ind w:firstLine="709"/>
      </w:pPr>
      <w:r>
        <w:rPr>
          <w:sz w:val="24"/>
        </w:rPr>
        <w:t xml:space="preserve">2) апелляционным судом общей юрисдикции - на решения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апелляционным военным судом - на решения окружных (флотских) военных судов, принятые ими по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Апелляционной коллегией Верховного Суда Российской Федерации - на решения по административным делам Судебной коллегии по административным делам Верховного Суда Российской Федерации, Судебной коллегии по делам военнослужащих Верховного Суда Российской Федерации и Дисциплинарной коллегии Верховного Суда Российской Федерации, принятые ими по первой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296</dc:title>
  <dc:creator>АРБИТРАЖ! · arbi.ru</dc:creator>
  <cp:lastModifiedBy>АРБИТРАЖ!</cp:lastModifiedBy>
  <dcterms:created xsi:type="dcterms:W3CDTF">2026-10-22T22:15:41.757Z</dcterms:created>
</cp:coreProperties>
</file>