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иное не установлено настоящим Кодексом, апелляционные жалобы, представления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>
      <w:pPr>
        <w:spacing w:after="120"/>
        <w:ind w:firstLine="709"/>
      </w:pPr>
      <w:r>
        <w:rPr>
          <w:sz w:val="24"/>
        </w:rPr>
        <w:t xml:space="preserve">2) апелляционным судом общей юрисдикции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апелляционным военным судом - на решения окружных (флотских) военных судов,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Апелляционной коллегией Верховного Суда Российской Федерации - на решения по административным делам Судебной коллегии по административным делам Верховного Суда Российской Федерации, Судебной коллегии по делам военнослужащих Верховного Суда Российской Федерации и Дисциплинарной коллегии Верховного Суда Российской Федерации, принятые ими по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296</dc:title>
  <dc:creator>АРБИТРАЖ! · arbi.ru</dc:creator>
  <cp:lastModifiedBy>АРБИТРАЖ!</cp:lastModifiedBy>
  <dcterms:created xsi:type="dcterms:W3CDTF">2026-10-22T18:31:34.939Z</dcterms:created>
</cp:coreProperties>
</file>