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если иное не установлено настоящим Кодексом, апелляционные жалобы, представления рассматриваются:</w:t>
      </w:r>
    </w:p>
    <w:p>
      <w:pPr>
        <w:spacing w:after="120"/>
        <w:ind w:firstLine="709"/>
      </w:pPr>
      <w:r>
        <w:rPr>
          <w:sz w:val="24"/>
        </w:rPr>
        <w:t xml:space="preserve">1) верховным судом республики, краевым, областным судом, судом города федерального значения, судом автономной области, судом автономного округа, окружным (флотским) военным судом - на решения районных судов, решения гарнизонных военных судов;</w:t>
      </w:r>
    </w:p>
    <w:p>
      <w:pPr>
        <w:spacing w:after="120"/>
        <w:ind w:firstLine="709"/>
      </w:pPr>
      <w:r>
        <w:rPr>
          <w:sz w:val="24"/>
        </w:rPr>
        <w:t xml:space="preserve">2) апелляционным судом общей юрисдикции - на решения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апелляционным военным судом - на решения окружных (флотских) военных судов, принятые ими по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Апелляционной коллегией Верховного Суда Российской Федерации - на решения по административным делам Судебной коллегии по административным делам Верховного Суда Российской Федерации, Судебной коллегии по делам военнослужащих Верховного Суда Российской Федерации и Дисциплинарной коллегии Верховного Суда Российской Федерации, принятые ими по первой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296</dc:title>
  <dc:creator>АРБИТРАЖ! · arbi.ru</dc:creator>
  <cp:lastModifiedBy>АРБИТРАЖ!</cp:lastModifiedBy>
  <dcterms:created xsi:type="dcterms:W3CDTF">2026-10-22T20:34:55.268Z</dcterms:created>
</cp:coreProperties>
</file>