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от апелляционных жалобы, представления допускается до вынесения судом апелляционного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2. Заявление об отказе от апелляционных жалобы, представления подается в письменной форме в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О принятии отказа от апелляционных жалобы, представления суд апелляционной инстанции выносит определение, которым прекращает производство по соответствующим апелляционным жалобе, представлению.</w:t>
      </w:r>
    </w:p>
    <w:p>
      <w:pPr>
        <w:spacing w:after="120"/>
        <w:ind w:firstLine="709"/>
      </w:pPr>
      <w:r>
        <w:rPr>
          <w:sz w:val="24"/>
        </w:rPr>
        <w:t xml:space="preserve">4. Прекращение производства по апелляционным жалобе, представлению в связи с отказом от них не является препятствием для рассмотрения иных апелляционных жалоб, представлений, если соответствующее решение суда первой инстанции обжалуется другими лицами.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303</dc:title>
  <dc:creator>АРБИТРАЖ! · arbi.ru</dc:creator>
  <cp:lastModifiedBy>АРБИТРАЖ!</cp:lastModifiedBy>
  <dcterms:created xsi:type="dcterms:W3CDTF">2026-10-22T16:43:59.694Z</dcterms:created>
</cp:coreProperties>
</file>