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316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34.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Суд апелляционной инстанции, рассмотрев частную жалобу, представление прокурора, вправе:</w:t>
      </w:r>
    </w:p>
    <w:p>
      <w:pPr>
        <w:spacing w:after="120"/>
        <w:ind w:firstLine="709"/>
      </w:pPr>
      <w:r>
        <w:rPr>
          <w:sz w:val="24"/>
        </w:rPr>
        <w:t xml:space="preserve">1) оставить определение суда первой инстанции без изменения, жалобу, представление прокурора без удовлетворения;</w:t>
      </w:r>
    </w:p>
    <w:p>
      <w:pPr>
        <w:spacing w:after="120"/>
        <w:ind w:firstLine="709"/>
      </w:pPr>
      <w:r>
        <w:rPr>
          <w:sz w:val="24"/>
        </w:rPr>
        <w:t xml:space="preserve">2) отменить определение суда полностью или в части и разрешить вопрос по существу.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316</dc:title>
  <dc:creator>АРБИТРАЖ! · arbi.ru</dc:creator>
  <cp:lastModifiedBy>АРБИТРАЖ!</cp:lastModifiedBy>
  <dcterms:created xsi:type="dcterms:W3CDTF">2026-10-23T01:16:39.808Z</dcterms:created>
</cp:coreProperties>
</file>