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319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 Кодекса, подаются через суд, принявший решение. Суд, 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 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 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
    <w:p>
      <w:pPr>
        <w:spacing w:after="120"/>
        <w:ind w:firstLine="709"/>
      </w:pPr>
      <w:r>
        <w:rPr>
          <w:sz w:val="24"/>
        </w:rPr>
        <w:t xml:space="preserve">(часть 1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1.1. Кассационные жалоба, представление, подаваемые в судебную коллегию Верховного Суда Российской Федерации на судебные акты по административным делам, подсудным районным судам и гарнизонным военным судам, а также по административным делам, указанным в пунктах 1 - 6 , 12 - 16 части 1 , части 2 статьи 20 настоящего Кодекса, подаются непосредственно в судебную коллегию Верховного Суда Российской Федерации.</w:t>
      </w:r>
    </w:p>
    <w:p>
      <w:pPr>
        <w:spacing w:after="120"/>
        <w:ind w:firstLine="709"/>
      </w:pPr>
      <w:r>
        <w:rPr>
          <w:sz w:val="24"/>
        </w:rPr>
        <w:t xml:space="preserve">(часть 1.1 введена Федеральным законом от 28.11.2018 N 451-ФЗ;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2. Кассационные жалоба, представление подаются:</w:t>
      </w:r>
    </w:p>
    <w:p>
      <w:pPr>
        <w:spacing w:after="120"/>
        <w:ind w:firstLine="709"/>
      </w:pPr>
      <w:r>
        <w:rPr>
          <w:sz w:val="24"/>
        </w:rPr>
        <w:t xml:space="preserve">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пунктах 1 - 6 , 12 - 16 части 1 , части 2 статьи 20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на апелляционные и иные определения апелляционных судов общей юрисдикции, за исключением определений по административным делам, указанным в пунктах 7 - 11 части 1 статьи 20 настоящего Кодекса, - в кассационный суд общей юрисдикции;</w:t>
      </w:r>
    </w:p>
    <w:p>
      <w:pPr>
        <w:spacing w:after="120"/>
        <w:ind w:firstLine="709"/>
      </w:pPr>
      <w:r>
        <w:rPr>
          <w:sz w:val="24"/>
        </w:rPr>
        <w:t xml:space="preserve">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pPr>
        <w:spacing w:after="120"/>
        <w:ind w:firstLine="709"/>
      </w:pPr>
      <w:r>
        <w:rPr>
          <w:sz w:val="24"/>
        </w:rPr>
        <w:t xml:space="preserve">КонсультантПлюс: примечание.</w:t>
      </w:r>
    </w:p>
    <w:p>
      <w:pPr>
        <w:spacing w:after="120"/>
        <w:ind w:firstLine="709"/>
      </w:pPr>
      <w:r>
        <w:rPr>
          <w:sz w:val="24"/>
        </w:rPr>
        <w:t xml:space="preserve">Производство по кассационным жалобам, представлениям, поданным в кассационный суд общей юрисдикции до 10.05.2026, на судебные акты мировых судей и судебные акты, принятые как апелляционной инстанцией районными судами, осуществляется по прежним правилам (ФЗ от 09.04.2026 N 79-ФЗ ).</w:t>
      </w:r>
    </w:p>
    <w:p>
      <w:pPr>
        <w:spacing w:after="120"/>
        <w:ind w:firstLine="709"/>
      </w:pPr>
      <w:r>
        <w:rPr>
          <w:sz w:val="24"/>
        </w:rPr>
        <w:t xml:space="preserve">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 12 - 16 части 1 , части 2 статьи 20 настоящего Кодекса, если такие судебные акты были обжалованы в кассационный суд общей юрисдикции;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 на апелляционные и иные определения апелляционных судов общей 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pPr>
        <w:spacing w:after="120"/>
        <w:ind w:firstLine="709"/>
      </w:pPr>
      <w:r>
        <w:rPr>
          <w:sz w:val="24"/>
        </w:rPr>
        <w:t xml:space="preserve">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 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
    <w:p>
      <w:pPr>
        <w:spacing w:after="120"/>
        <w:ind w:firstLine="709"/>
      </w:pPr>
      <w:r>
        <w:rPr>
          <w:sz w:val="24"/>
        </w:rPr>
        <w:t xml:space="preserve">(часть 2 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pPr>
        <w:spacing w:after="120"/>
        <w:ind w:firstLine="709"/>
      </w:pPr>
      <w:r>
        <w:rPr>
          <w:sz w:val="24"/>
        </w:rPr>
        <w:t xml:space="preserve">(часть 3 в ред. Федерального закона от 30.12.2021 N 440-ФЗ)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319</dc:title>
  <dc:creator>АРБИТРАЖ! · arbi.ru</dc:creator>
  <cp:lastModifiedBy>АРБИТРАЖ!</cp:lastModifiedBy>
  <dcterms:created xsi:type="dcterms:W3CDTF">2026-10-23T01:16:11.347Z</dcterms:created>
</cp:coreProperties>
</file>